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hain-20260922.htm"/>
      <w:bookmarkStart w:id="1" w:name="kshain20260922"/>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THE HAIN CELESTIAL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0-22818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22-3240619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 River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Hoboken, New Jersey</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07030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(516)</w:t>
            </w:r>
            <w:r>
              <w:rPr>
                <w:rFonts w:ascii="Times New Roman" w:hAnsi="Times New Roman"/>
                <w:color w:val="000000"/>
                <w:sz w:val="20"/>
              </w:rPr>
              <w:t xml:space="preserve"> </w:t>
            </w:r>
            <w:r>
              <w:rPr>
                <w:rFonts w:ascii="Times New Roman" w:hAnsi="Times New Roman"/>
                <w:b/>
                <w:color w:val="000000"/>
                <w:sz w:val="20"/>
              </w:rPr>
              <w:t>587-5000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3.01 Notice of Delisting or Failure to Satisfy a Continued Listing Rule or Standard; Transfer of Listing.</w:t>
      </w:r>
    </w:p>
    <w:p>
      <w:pPr>
        <w:pStyle w:val="TextBody"/>
        <w:bidi w:val="0"/>
        <w:spacing w:before="0" w:after="200"/>
        <w:jc w:val="both"/>
        <w:rPr>
          <w:rFonts w:ascii="Times New Roman" w:hAnsi="Times New Roman"/>
          <w:sz w:val="20"/>
        </w:rPr>
      </w:pPr>
      <w:r>
        <w:rPr>
          <w:rFonts w:ascii="Times New Roman" w:hAnsi="Times New Roman"/>
          <w:color w:val="000000"/>
          <w:sz w:val="20"/>
        </w:rPr>
        <w:t>As previously disclosed, on March 24, 2026, The Hain Celestial Group, Inc. (the “</w:t>
      </w:r>
      <w:r>
        <w:rPr>
          <w:rFonts w:ascii="Times New Roman" w:hAnsi="Times New Roman"/>
          <w:color w:val="000000"/>
          <w:sz w:val="20"/>
          <w:u w:val="single"/>
        </w:rPr>
        <w:t>Company</w:t>
      </w:r>
      <w:r>
        <w:rPr>
          <w:rFonts w:ascii="Times New Roman" w:hAnsi="Times New Roman"/>
          <w:color w:val="000000"/>
          <w:sz w:val="20"/>
        </w:rPr>
        <w:t>”) received a letter from the Listing Qualifications Staff (the “</w:t>
      </w:r>
      <w:r>
        <w:rPr>
          <w:rFonts w:ascii="Times New Roman" w:hAnsi="Times New Roman"/>
          <w:color w:val="000000"/>
          <w:sz w:val="20"/>
          <w:u w:val="single"/>
        </w:rPr>
        <w:t>Nasdaq Staff</w:t>
      </w:r>
      <w:r>
        <w:rPr>
          <w:rFonts w:ascii="Times New Roman" w:hAnsi="Times New Roman"/>
          <w:color w:val="000000"/>
          <w:sz w:val="20"/>
        </w:rPr>
        <w:t>”) of The Nasdaq Stock Market LLC (“</w:t>
      </w:r>
      <w:r>
        <w:rPr>
          <w:rFonts w:ascii="Times New Roman" w:hAnsi="Times New Roman"/>
          <w:color w:val="000000"/>
          <w:sz w:val="20"/>
          <w:u w:val="single"/>
        </w:rPr>
        <w:t>Nasdaq</w:t>
      </w:r>
      <w:r>
        <w:rPr>
          <w:rFonts w:ascii="Times New Roman" w:hAnsi="Times New Roman"/>
          <w:color w:val="000000"/>
          <w:sz w:val="20"/>
        </w:rPr>
        <w:t>”) informing the Company that its common stock failed to comply with the minimum bid price required for continued listing on The Nasdaq Global Select Market under Nasdaq Listing Rule 5450(a)(1) based upon the bid price of the common stock closing below $1.00 for 30 consecutive business days. Pursuant to Nasdaq Listing Rule 5810(c)(3)(A), the Company was provided an initial compliance period of 180 calendar days, or until September 21, 2026 (the “</w:t>
      </w:r>
      <w:r>
        <w:rPr>
          <w:rFonts w:ascii="Times New Roman" w:hAnsi="Times New Roman"/>
          <w:color w:val="000000"/>
          <w:sz w:val="20"/>
          <w:u w:val="single"/>
        </w:rPr>
        <w:t>Initial Compliance Date</w:t>
      </w:r>
      <w:r>
        <w:rPr>
          <w:rFonts w:ascii="Times New Roman" w:hAnsi="Times New Roman"/>
          <w:color w:val="000000"/>
          <w:sz w:val="20"/>
        </w:rPr>
        <w:t>”), to regain compliance with the minimum bid price requirement. Additionally, the Company was eligible for an additional 180-calendar day compliance period to demonstrate compliance with the minimum bid price requirement, subject to meeting certain requirements.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connection with the Company’s request for the additional 180-calendar day compliance period, prior to the Initial Compliance Date, the Company submitted an application to Nasdaq to transfer the listing of the Company’s common stock from The Nasdaq Global Select Market to The Nasdaq Capital Market. The Company also provided Nasdaq with written notification of the Company’s intent to regain compliance with the minimum bid price requirement within the additional 180-calendar day compliance period, including by implementing a reverse stock split if necessary.</w:t>
      </w:r>
    </w:p>
    <w:p>
      <w:pPr>
        <w:pStyle w:val="TextBody"/>
        <w:bidi w:val="0"/>
        <w:spacing w:before="0" w:after="200"/>
        <w:jc w:val="both"/>
        <w:rPr>
          <w:rFonts w:ascii="Times New Roman" w:hAnsi="Times New Roman"/>
          <w:sz w:val="20"/>
        </w:rPr>
      </w:pPr>
      <w:r>
        <w:rPr>
          <w:rFonts w:ascii="Times New Roman" w:hAnsi="Times New Roman"/>
          <w:color w:val="000000"/>
          <w:sz w:val="20"/>
        </w:rPr>
        <w:t>In a letter dated September 22, 2026 (the “</w:t>
      </w:r>
      <w:r>
        <w:rPr>
          <w:rFonts w:ascii="Times New Roman" w:hAnsi="Times New Roman"/>
          <w:color w:val="000000"/>
          <w:sz w:val="20"/>
          <w:u w:val="single"/>
        </w:rPr>
        <w:t>Second Nasdaq Letter</w:t>
      </w:r>
      <w:r>
        <w:rPr>
          <w:rFonts w:ascii="Times New Roman" w:hAnsi="Times New Roman"/>
          <w:color w:val="000000"/>
          <w:sz w:val="20"/>
        </w:rPr>
        <w:t>”), the Nasdaq Staff notified the Company of the Nasdaq Staff’s approval of the Company’s application to list the Company’s common stock on The Nasdaq Capital Market. The Company’s common stock was transferred to The Nasdaq Capital Market at the opening of business on September 24, 2026. Following the transfer to The Nasdaq Capital Market, the Company’s common stock continues to trade under the symbol “HAIN.”</w:t>
      </w:r>
    </w:p>
    <w:p>
      <w:pPr>
        <w:pStyle w:val="TextBody"/>
        <w:bidi w:val="0"/>
        <w:spacing w:before="0" w:after="200"/>
        <w:jc w:val="both"/>
        <w:rPr>
          <w:rFonts w:ascii="Times New Roman" w:hAnsi="Times New Roman"/>
          <w:sz w:val="20"/>
        </w:rPr>
      </w:pPr>
      <w:r>
        <w:rPr>
          <w:rFonts w:ascii="Times New Roman" w:hAnsi="Times New Roman"/>
          <w:color w:val="000000"/>
          <w:sz w:val="20"/>
        </w:rPr>
        <w:t>Additionally, the Second Nasdaq Letter stated that the Nasdaq Staff has determined that the Company will be eligible for the additional 180-calendar day period, or until March 22, 2027 (the “</w:t>
      </w:r>
      <w:r>
        <w:rPr>
          <w:rFonts w:ascii="Times New Roman" w:hAnsi="Times New Roman"/>
          <w:color w:val="000000"/>
          <w:sz w:val="20"/>
          <w:u w:val="single"/>
        </w:rPr>
        <w:t>Second Compliance Period</w:t>
      </w:r>
      <w:r>
        <w:rPr>
          <w:rFonts w:ascii="Times New Roman" w:hAnsi="Times New Roman"/>
          <w:color w:val="000000"/>
          <w:sz w:val="20"/>
        </w:rPr>
        <w:t>”), to regain compliance with the minimum bid price requirement. If at any time during the Second Compliance Period the bid price of the Company’s common stock closes at or above $1.00 per share for a minimum of ten consecutive business days, the Nasdaq Staff will provide the Company with written confirmation of compliance and the matter will be closed.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intends to continue to actively monitor the closing bid price of the Company’s common stock and, if necessary, intends to take actions to resolve the deficiency during the Second Compliance Period and regain compliance with the minimum bid price requirement, including by effecting a reverse stock split if necessary. While the Company is exercising diligent efforts to maintain the listing of its common stock on Nasdaq, there can be no assurance that the Company will be able to regain or maintain compliance with Nasdaq listing standards.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September 25, 2026, Michael J. Ragusa, the Company’s Senior Vice President, Chief Accounting Officer and principal accounting officer, informed the Company of his intention to resign from the Company, effective November 1, 2026, to pursue another opportunity.</w:t>
      </w:r>
    </w:p>
    <w:p>
      <w:pPr>
        <w:pStyle w:val="TextBody"/>
        <w:bidi w:val="0"/>
        <w:spacing w:before="0" w:after="200"/>
        <w:jc w:val="both"/>
        <w:rPr/>
      </w:pPr>
      <w:r>
        <w:rPr>
          <w:rFonts w:ascii="Times New Roman" w:hAnsi="Times New Roman"/>
          <w:color w:val="000000"/>
          <w:sz w:val="20"/>
        </w:rPr>
        <w:t xml:space="preserve">Upon Mr. Ragusa’s departure, Lee A. Boyce, the Company’s Chief Financial Officer and principal financial officer, will assume the role of principal accounting officer in addition to his current roles. Mr. Boyce’s full biography and other information required by Item 5.02(c) of Form 8-K are included in the Company’s proxy statement for its 2025 Annual Meeting of Stockholders, filed with the Securities and Exchange Commission on </w:t>
      </w:r>
      <w:hyperlink r:id="rId2">
        <w:r>
          <w:rPr>
            <w:rStyle w:val="InternetLink"/>
            <w:rFonts w:ascii="Times New Roman" w:hAnsi="Times New Roman"/>
            <w:color w:val="0000FF"/>
            <w:sz w:val="20"/>
            <w:u w:val="single"/>
          </w:rPr>
          <w:t>September 18, 2025</w:t>
        </w:r>
      </w:hyperlink>
      <w:r>
        <w:rPr>
          <w:rFonts w:ascii="Times New Roman" w:hAnsi="Times New Roman"/>
          <w:color w:val="000000"/>
          <w:sz w:val="20"/>
        </w:rPr>
        <w:t>, and such information is incorporated herein by reference.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the safe harbor provisions of the Private Securities Litigation Reform Act of 1995. Such statements involve risks, uncertainties and assumptions. If the risks or uncertainties ever materialize or the assumptions prove incorrect, our results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statements regarding the Company’s intentions regarding regaining compliance with the minimum bid price requirements of Nasdaq. Risks and uncertainties that may cause actual results to differ materially from forward-looking statements include our ability to effect a reverse stock split, uncertainty with respect to Nasdaq’s requirements for regaining compliance with its listing standards, and other risks and matters described in the section entitled “Risk Factors” in our most recent Annual Report on Form 10-K and our other filings made from time to time with the Securities and Exchange Commission. We undertake no obligation to update forward-looking statements to reflect actual results or changes in assumptions or circumstances, except as required by applicable law.</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229" w:type="dxa"/>
        <w:jc w:val="left"/>
        <w:tblInd w:w="0" w:type="dxa"/>
        <w:tblLayout w:type="fixed"/>
        <w:tblCellMar>
          <w:top w:w="28" w:type="dxa"/>
          <w:left w:w="28" w:type="dxa"/>
          <w:bottom w:w="28" w:type="dxa"/>
          <w:right w:w="28" w:type="dxa"/>
        </w:tblCellMar>
      </w:tblPr>
      <w:tblGrid>
        <w:gridCol w:w="556"/>
        <w:gridCol w:w="1726"/>
        <w:gridCol w:w="451"/>
        <w:gridCol w:w="349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THE HAIN CELESTIAL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96" w:type="dxa"/>
            <w:tcBorders>
              <w:bottom w:val="single" w:sz="2" w:space="0" w:color="000000"/>
            </w:tcBorders>
            <w:tcMar>
              <w:top w:w="0" w:type="dxa"/>
              <w:left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/s/ Kristy M. Meringolo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Kristy M. Meringolo</w:t>
              <w:br/>
              <w:t>Chief Legal and Corporate Affairs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910406/000119312525207370/hain-20250918.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1188</Words>
  <Characters>6733</Characters>
  <CharactersWithSpaces>7912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