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ain-20260630.htm"/>
        <w:bookmarkStart w:id="1" w:name="kshain2026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6" w:space="1" w:color="000000"/>
        </w:pBdr>
        <w:bidi w:val="0"/>
        <w:jc w:val="center"/>
        <w:rPr/>
      </w:pPr>
      <w:r>
        <w:rPr/>
        <w:t>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 the fiscal year ended June 30, 2026</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40" w:after="283"/>
        <w:jc w:val="left"/>
        <w:rPr/>
      </w:pPr>
      <w:r>
        <w:rPr/>
        <w:t> </w:t>
      </w:r>
    </w:p>
    <w:tbl>
      <w:tblPr>
        <w:tblW w:w="7997" w:type="dxa"/>
        <w:jc w:val="left"/>
        <w:tblInd w:w="0" w:type="dxa"/>
        <w:tblLayout w:type="fixed"/>
        <w:tblCellMar>
          <w:top w:w="28" w:type="dxa"/>
          <w:left w:w="28" w:type="dxa"/>
          <w:bottom w:w="28" w:type="dxa"/>
          <w:right w:w="28" w:type="dxa"/>
        </w:tblCellMar>
      </w:tblPr>
      <w:tblGrid>
        <w:gridCol w:w="331"/>
        <w:gridCol w:w="7666"/>
      </w:tblGrid>
      <w:tr>
        <w:trPr/>
        <w:tc>
          <w:tcPr>
            <w:tcW w:w="331"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14"/>
        </w:rPr>
      </w:pPr>
      <w:r>
        <w:rPr>
          <w:rFonts w:ascii="Times New Roman" w:hAnsi="Times New Roman"/>
          <w:b/>
          <w:color w:val="000000"/>
          <w:sz w:val="14"/>
        </w:rPr>
        <w:t>for the transition period from to .</w:t>
      </w:r>
    </w:p>
    <w:p>
      <w:pPr>
        <w:pStyle w:val="TextBody"/>
        <w:bidi w:val="0"/>
        <w:spacing w:before="40" w:after="283"/>
        <w:jc w:val="center"/>
        <w:rPr>
          <w:rFonts w:ascii="Times New Roman" w:hAnsi="Times New Roman"/>
          <w:b/>
          <w:color w:val="000000"/>
          <w:sz w:val="14"/>
        </w:rPr>
      </w:pPr>
      <w:r>
        <w:rPr>
          <w:rFonts w:ascii="Times New Roman" w:hAnsi="Times New Roman"/>
          <w:b/>
          <w:color w:val="000000"/>
          <w:sz w:val="14"/>
        </w:rPr>
        <w:t>Commission File No. 0-22818</w:t>
      </w:r>
    </w:p>
    <w:p>
      <w:pPr>
        <w:pStyle w:val="TextBody"/>
        <w:pBdr>
          <w:bottom w:val="single" w:sz="6" w:space="1" w:color="000000"/>
        </w:pBdr>
        <w:bidi w:val="0"/>
        <w:jc w:val="center"/>
        <w:rPr/>
      </w:pPr>
      <w:r>
        <w:rPr/>
        <w:t> </w:t>
      </w:r>
    </w:p>
    <w:p>
      <w:pPr>
        <w:pStyle w:val="TextBody"/>
        <w:bidi w:val="0"/>
        <w:spacing w:before="40" w:after="283"/>
        <w:jc w:val="center"/>
        <w:rPr/>
      </w:pPr>
      <w:r>
        <w:rPr/>
        <w:drawing>
          <wp:inline distT="0" distB="0" distL="0" distR="0">
            <wp:extent cx="7905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90575" cy="742950"/>
                    </a:xfrm>
                    <a:prstGeom prst="rect">
                      <a:avLst/>
                    </a:prstGeom>
                  </pic:spPr>
                </pic:pic>
              </a:graphicData>
            </a:graphic>
          </wp:inline>
        </w:drawing>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THE HAIN CELESTIAL GROUP, INC.</w:t>
      </w:r>
    </w:p>
    <w:p>
      <w:pPr>
        <w:pStyle w:val="TextBody"/>
        <w:bidi w:val="0"/>
        <w:jc w:val="center"/>
        <w:rPr>
          <w:rFonts w:ascii="Times New Roman" w:hAnsi="Times New Roman"/>
          <w:b/>
          <w:color w:val="000000"/>
          <w:sz w:val="14"/>
        </w:rPr>
      </w:pPr>
      <w:r>
        <w:rPr>
          <w:rFonts w:ascii="Times New Roman" w:hAnsi="Times New Roman"/>
          <w:b/>
          <w:color w:val="000000"/>
          <w:sz w:val="14"/>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22-3240619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221 River Street, Hoboken, NJ</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07030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14"/>
        </w:rPr>
      </w:pPr>
      <w:r>
        <w:rPr>
          <w:rFonts w:ascii="Times New Roman" w:hAnsi="Times New Roman"/>
          <w:b/>
          <w:color w:val="000000"/>
          <w:sz w:val="14"/>
        </w:rPr>
        <w:t>(516) 587-5000</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jc w:val="center"/>
        <w:rPr/>
      </w:pPr>
      <w:r>
        <w:rPr/>
        <w:t> </w:t>
      </w:r>
    </w:p>
    <w:p>
      <w:pPr>
        <w:pStyle w:val="TextBody"/>
        <w:bidi w:val="0"/>
        <w:spacing w:before="40" w:after="283"/>
        <w:jc w:val="center"/>
        <w:rPr>
          <w:rFonts w:ascii="Times New Roman" w:hAnsi="Times New Roman"/>
          <w:sz w:val="14"/>
        </w:rPr>
      </w:pPr>
      <w:r>
        <w:rPr>
          <w:rFonts w:ascii="Times New Roman" w:hAnsi="Times New Roman"/>
          <w:b/>
          <w:color w:val="000000"/>
          <w:sz w:val="14"/>
        </w:rPr>
        <w:t>Securities registered pursuant to Section 12(b) of the Act:</w:t>
      </w:r>
      <w:r>
        <w:rPr>
          <w:rFonts w:ascii="Times New Roman" w:hAnsi="Times New Roman"/>
          <w:color w:val="000000"/>
          <w:sz w:val="14"/>
        </w:rPr>
        <w:t xml:space="preserve"> </w:t>
      </w:r>
    </w:p>
    <w:p>
      <w:pPr>
        <w:pStyle w:val="TextBody"/>
        <w:bidi w:val="0"/>
        <w:spacing w:before="40" w:after="283"/>
        <w:jc w:val="center"/>
        <w:rPr/>
      </w:pPr>
      <w:r>
        <w:rPr/>
        <w:t> </w:t>
      </w:r>
    </w:p>
    <w:p>
      <w:pPr>
        <w:pStyle w:val="TextBody"/>
        <w:bidi w:val="0"/>
        <w:jc w:val="left"/>
        <w:rPr/>
      </w:pPr>
      <w:r>
        <w:rPr/>
        <w:t> </w:t>
      </w:r>
    </w:p>
    <w:tbl>
      <w:tblPr>
        <w:tblW w:w="6423" w:type="dxa"/>
        <w:jc w:val="left"/>
        <w:tblInd w:w="0" w:type="dxa"/>
        <w:tblLayout w:type="fixed"/>
        <w:tblCellMar>
          <w:top w:w="28" w:type="dxa"/>
          <w:left w:w="28" w:type="dxa"/>
          <w:bottom w:w="28" w:type="dxa"/>
          <w:right w:w="28" w:type="dxa"/>
        </w:tblCellMar>
      </w:tblPr>
      <w:tblGrid>
        <w:gridCol w:w="2491"/>
        <w:gridCol w:w="1231"/>
        <w:gridCol w:w="2701"/>
      </w:tblGrid>
      <w:tr>
        <w:trPr/>
        <w:tc>
          <w:tcPr>
            <w:tcW w:w="249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par value $0.01 per share</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HAIN</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The Nasdaq Stock Market LLC</w:t>
            </w:r>
          </w:p>
        </w:tc>
      </w:tr>
    </w:tbl>
    <w:p>
      <w:pPr>
        <w:pStyle w:val="TextBody"/>
        <w:bidi w:val="0"/>
        <w:jc w:val="center"/>
        <w:rPr/>
      </w:pPr>
      <w:r>
        <w:rPr/>
        <w:t> </w:t>
      </w:r>
    </w:p>
    <w:p>
      <w:pPr>
        <w:pStyle w:val="TextBody"/>
        <w:bidi w:val="0"/>
        <w:spacing w:before="40" w:after="283"/>
        <w:jc w:val="center"/>
        <w:rPr>
          <w:rFonts w:ascii="Times New Roman" w:hAnsi="Times New Roman"/>
          <w:b/>
          <w:color w:val="000000"/>
          <w:sz w:val="14"/>
        </w:rPr>
      </w:pPr>
      <w:r>
        <w:rPr>
          <w:rFonts w:ascii="Times New Roman" w:hAnsi="Times New Roman"/>
          <w:b/>
          <w:color w:val="000000"/>
          <w:sz w:val="14"/>
        </w:rPr>
        <w:t>Securities registered pursuant to Section 12(g) of the Act: None</w:t>
      </w:r>
    </w:p>
    <w:p>
      <w:pPr>
        <w:pStyle w:val="TextBody"/>
        <w:bidi w:val="0"/>
        <w:jc w:val="center"/>
        <w:rPr/>
      </w:pPr>
      <w:r>
        <w:rPr/>
        <w:t> </w:t>
      </w:r>
    </w:p>
    <w:p>
      <w:pPr>
        <w:pStyle w:val="TextBody"/>
        <w:pBdr>
          <w:bottom w:val="single" w:sz="6" w:space="1" w:color="000000"/>
        </w:pBdr>
        <w:bidi w:val="0"/>
        <w:jc w:val="center"/>
        <w:rPr/>
      </w:pPr>
      <w:r>
        <w:rPr/>
        <w:t>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whether the registrant is a well-known seasoned issuer, as defined in Rule 405 of the Securities Act.</w:t>
      </w:r>
    </w:p>
    <w:p>
      <w:pPr>
        <w:pStyle w:val="TextBody"/>
        <w:bidi w:val="0"/>
        <w:spacing w:before="40" w:after="283"/>
        <w:jc w:val="right"/>
        <w:rPr>
          <w:rFonts w:ascii="Times New Roman" w:hAnsi="Times New Roman"/>
          <w:color w:val="000000"/>
          <w:sz w:val="13"/>
        </w:rPr>
      </w:pPr>
      <w:r>
        <w:rPr>
          <w:rFonts w:ascii="Times New Roman" w:hAnsi="Times New Roman"/>
          <w:color w:val="000000"/>
          <w:sz w:val="13"/>
        </w:rPr>
        <w:t>Yes ☐ No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if the registrant is not required to file reports pursuant to Section 13 or Section 15(d) of the Act.</w:t>
      </w:r>
    </w:p>
    <w:p>
      <w:pPr>
        <w:pStyle w:val="TextBody"/>
        <w:bidi w:val="0"/>
        <w:spacing w:before="40" w:after="283"/>
        <w:jc w:val="right"/>
        <w:rPr>
          <w:rFonts w:ascii="Times New Roman" w:hAnsi="Times New Roman"/>
          <w:color w:val="000000"/>
          <w:sz w:val="13"/>
        </w:rPr>
      </w:pPr>
      <w:r>
        <w:rPr>
          <w:rFonts w:ascii="Times New Roman" w:hAnsi="Times New Roman"/>
          <w:color w:val="000000"/>
          <w:sz w:val="13"/>
        </w:rPr>
        <w:t>Yes ☐ No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40" w:after="283"/>
        <w:jc w:val="right"/>
        <w:rPr>
          <w:rFonts w:ascii="Times New Roman" w:hAnsi="Times New Roman"/>
          <w:color w:val="000000"/>
          <w:sz w:val="13"/>
        </w:rPr>
      </w:pPr>
      <w:r>
        <w:rPr>
          <w:rFonts w:ascii="Times New Roman" w:hAnsi="Times New Roman"/>
          <w:color w:val="000000"/>
          <w:sz w:val="13"/>
        </w:rPr>
        <w:t>Yes ☒ No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p>
    <w:p>
      <w:pPr>
        <w:pStyle w:val="TextBody"/>
        <w:bidi w:val="0"/>
        <w:spacing w:before="40" w:after="283"/>
        <w:jc w:val="right"/>
        <w:rPr>
          <w:rFonts w:ascii="Times New Roman" w:hAnsi="Times New Roman"/>
          <w:color w:val="000000"/>
          <w:sz w:val="13"/>
        </w:rPr>
      </w:pPr>
      <w:r>
        <w:rPr>
          <w:rFonts w:ascii="Times New Roman" w:hAnsi="Times New Roman"/>
          <w:color w:val="000000"/>
          <w:sz w:val="13"/>
        </w:rPr>
        <w:t>Yes ☒ No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155" w:type="dxa"/>
        <w:jc w:val="left"/>
        <w:tblInd w:w="0" w:type="dxa"/>
        <w:tblLayout w:type="fixed"/>
        <w:tblCellMar>
          <w:top w:w="28" w:type="dxa"/>
          <w:left w:w="28" w:type="dxa"/>
          <w:bottom w:w="28" w:type="dxa"/>
          <w:right w:w="28" w:type="dxa"/>
        </w:tblCellMar>
      </w:tblPr>
      <w:tblGrid>
        <w:gridCol w:w="1666"/>
        <w:gridCol w:w="316"/>
        <w:gridCol w:w="146"/>
        <w:gridCol w:w="166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Accelerated filer</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Times New Roman" w:hAnsi="Times New Roman"/>
          <w:color w:val="000000"/>
          <w:sz w:val="13"/>
        </w:rPr>
      </w:pPr>
      <w:r>
        <w:rPr>
          <w:rFonts w:ascii="Times New Roman" w:hAnsi="Times New Roman"/>
          <w:color w:val="000000"/>
          <w:sz w:val="13"/>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40" w:after="283"/>
        <w:jc w:val="both"/>
        <w:rPr>
          <w:rFonts w:ascii="Times New Roman" w:hAnsi="Times New Roman"/>
          <w:sz w:val="13"/>
        </w:rPr>
      </w:pPr>
      <w:r>
        <w:rPr>
          <w:rFonts w:ascii="Times New Roman" w:hAnsi="Times New Roman"/>
          <w:color w:val="000000"/>
          <w:sz w:val="13"/>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8080"/>
          <w:sz w:val="13"/>
        </w:rPr>
        <w:t xml:space="preserve">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Indicate by check mark whether the registrant is a shell company (as defined in Rule 12b-2 of the Act). Yes ☐ No ☒</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The aggregate market value of the voting and non-voting common equity held by non-affiliates of the registrant based upon the closing price of the registrant’s common stock, as quoted by The Nasdaq Stock Market LLC on December 31, 2025, the last business day of the registrant’s most recently completed second fiscal quarter, was $95,637,022.</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 xml:space="preserve">As of September 8, 2026, there were 91,002,269 shares outstanding of the registrant’s Common Stock, par value $0.01 per share.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13"/>
        </w:rPr>
      </w:pPr>
      <w:r>
        <w:rPr>
          <w:rFonts w:ascii="Times New Roman" w:hAnsi="Times New Roman"/>
          <w:color w:val="000000"/>
          <w:sz w:val="13"/>
        </w:rPr>
        <w:t>DOCUMENTS INCORPORATED BY REFERENCE</w:t>
      </w:r>
    </w:p>
    <w:p>
      <w:pPr>
        <w:pStyle w:val="TextBody"/>
        <w:bidi w:val="0"/>
        <w:spacing w:before="40" w:after="283"/>
        <w:jc w:val="both"/>
        <w:rPr>
          <w:rFonts w:ascii="Times New Roman" w:hAnsi="Times New Roman"/>
          <w:color w:val="000000"/>
          <w:sz w:val="13"/>
        </w:rPr>
      </w:pPr>
      <w:r>
        <w:rPr>
          <w:rFonts w:ascii="Times New Roman" w:hAnsi="Times New Roman"/>
          <w:color w:val="000000"/>
          <w:sz w:val="13"/>
        </w:rPr>
        <w:t>Portions of The Hain Celestial Group, Inc. Definitive Proxy Statement for the 2026 Annual Meeting of Stockholders, or an amendment to this Form 10-K, are incorporated by reference into Part III of this Annual Report on Form 10-K.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HAIN CELESTIAL GROUP, INC.</w:t>
      </w:r>
    </w:p>
    <w:p>
      <w:pPr>
        <w:pStyle w:val="TextBody"/>
        <w:bidi w:val="0"/>
        <w:spacing w:before="200" w:after="283"/>
        <w:jc w:val="center"/>
        <w:rPr>
          <w:rFonts w:ascii="Times New Roman" w:hAnsi="Times New Roman"/>
          <w:sz w:val="20"/>
        </w:rPr>
      </w:pPr>
      <w:bookmarkStart w:id="2" w:name="toc_page"/>
      <w:bookmarkEnd w:id="2"/>
      <w:r>
        <w:rPr>
          <w:rFonts w:ascii="Times New Roman" w:hAnsi="Times New Roman"/>
          <w:b/>
          <w:color w:val="000000"/>
          <w:sz w:val="20"/>
        </w:rPr>
        <w:t>Table</w:t>
      </w:r>
      <w:r>
        <w:rPr>
          <w:rFonts w:ascii="Times New Roman" w:hAnsi="Times New Roman"/>
          <w:color w:val="000000"/>
          <w:sz w:val="20"/>
        </w:rPr>
        <w:t xml:space="preserve"> </w:t>
      </w:r>
      <w:r>
        <w:rPr>
          <w:rFonts w:ascii="Times New Roman" w:hAnsi="Times New Roman"/>
          <w:b/>
          <w:color w:val="000000"/>
          <w:sz w:val="20"/>
        </w:rPr>
        <w:t>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1"/>
        <w:gridCol w:w="8442"/>
        <w:gridCol w:w="542"/>
      </w:tblGrid>
      <w:tr>
        <w:trPr/>
        <w:tc>
          <w:tcPr>
            <w:tcW w:w="1221" w:type="dxa"/>
            <w:tcBorders/>
            <w:vAlign w:val="center"/>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u w:val="single"/>
              </w:rPr>
            </w:pPr>
            <w:r>
              <w:rPr>
                <w:rFonts w:ascii="Times New Roman" w:hAnsi="Times New Roman"/>
                <w:color w:val="000000"/>
                <w:sz w:val="20"/>
                <w:u w:val="single"/>
              </w:rPr>
              <w:t>Page</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cybersecurity">
              <w:r>
                <w:rPr>
                  <w:rStyle w:val="InternetLink"/>
                  <w:rFonts w:ascii="Times New Roman" w:hAnsi="Times New Roman"/>
                  <w:color w:val="0000FF"/>
                  <w:sz w:val="20"/>
                  <w:u w:val="single"/>
                </w:rPr>
                <w:t>Cybersecurity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Item 4.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III</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of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IV</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5_exhibit_and_financial_statement">
              <w:r>
                <w:rPr>
                  <w:rStyle w:val="InternetLink"/>
                  <w:rFonts w:ascii="Times New Roman" w:hAnsi="Times New Roman"/>
                  <w:color w:val="0000FF"/>
                  <w:sz w:val="20"/>
                  <w:u w:val="single"/>
                </w:rPr>
                <w:t>Exhibit and Financial Statement Schedules</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r>
        <w:trPr/>
        <w:tc>
          <w:tcPr>
            <w:tcW w:w="1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hyperlink w:anchor="exhibit_index">
              <w:r>
                <w:rPr>
                  <w:rStyle w:val="InternetLink"/>
                  <w:rFonts w:ascii="Times New Roman" w:hAnsi="Times New Roman"/>
                  <w:color w:val="0000FF"/>
                  <w:sz w:val="20"/>
                  <w:u w:val="single"/>
                </w:rPr>
                <w:t>Exhibit Index</w:t>
              </w:r>
            </w:hyperlink>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2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Annual Report on Form 10-K for the fiscal year ended June 30, 2026 (the “Form 10-K”)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the results of The Hain Celestial Group, Inc. (collectively with its subsidiaries, the “Company,” “Hain Celestial,” “we,” “us” or “our”)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statements relating to: our indebtedness; our future performance, results of operations and financial condition; our strategic initiatives and business strategy, including the pending sale of our International business; our supply chain, including the impact of tariffs and the availability and pricing of raw materials; our brand portfolio; pricing actions and product performance; inflation rates; and current or future macroeconomic trends.</w:t>
      </w:r>
    </w:p>
    <w:p>
      <w:pPr>
        <w:pStyle w:val="TextBody"/>
        <w:bidi w:val="0"/>
        <w:spacing w:lineRule="auto" w:line="360" w:before="200" w:after="283"/>
        <w:jc w:val="both"/>
        <w:rPr>
          <w:rFonts w:ascii="Times New Roman" w:hAnsi="Times New Roman"/>
          <w:sz w:val="9"/>
        </w:rPr>
      </w:pPr>
      <w:r>
        <w:rPr>
          <w:rFonts w:ascii="Times New Roman" w:hAnsi="Times New Roman"/>
          <w:color w:val="000000"/>
          <w:sz w:val="20"/>
        </w:rPr>
        <w:t>Risks and uncertainties that may cause actual results to differ materially from forward-looking statements include: compliance with our credit agreement and our ability to refinance, retire and/or extend the maturity of our existing debt;</w:t>
      </w:r>
      <w:r>
        <w:rPr>
          <w:rFonts w:ascii="Times New Roman" w:hAnsi="Times New Roman"/>
          <w:color w:val="FF0000"/>
          <w:sz w:val="9"/>
        </w:rPr>
        <w:t xml:space="preserve"> </w:t>
      </w:r>
      <w:r>
        <w:rPr>
          <w:rFonts w:ascii="Times New Roman" w:hAnsi="Times New Roman"/>
          <w:color w:val="000000"/>
          <w:sz w:val="20"/>
        </w:rPr>
        <w:t>our ability to execute our business strategy; our ability to complete the pending sale of our International business and manage the challenges and uncertainty facing our remaining business following the sale; challenges and uncertainty resulting from the impact of competition; changes to consumer preferences;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w:t>
      </w:r>
      <w:r>
        <w:rPr>
          <w:rFonts w:ascii="Times New Roman" w:hAnsi="Times New Roman"/>
          <w:color w:val="000000"/>
          <w:sz w:val="9"/>
        </w:rPr>
        <w:t xml:space="preserve">® </w:t>
      </w:r>
      <w:r>
        <w:rPr>
          <w:rFonts w:ascii="Times New Roman" w:hAnsi="Times New Roman"/>
          <w:color w:val="000000"/>
          <w:sz w:val="20"/>
        </w:rPr>
        <w:t>baby food products; potential liability if our products cause illness or physical harm; the highly regulated environment in which we operate; compliance with data privacy laws; the adequacy of our insurance coverage; climate impacts; liabilities, claims or regulatory change with respect to environmental matters; the potential cessation of our common stock’s listing on The Nasdaq Stock Market LLC (“Nasdaq”); and other risks and matters described in Part I, Item 1A, “Risk Factors” and elsewhere in this Form 10-K as well as in other reports that we file in the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undertake no obligation to update forward-looking statements to reflect actual results or changes in assumptions or circumstances, except as required by applicable law.</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
      <w:bookmarkEnd w:id="3"/>
      <w:r>
        <w:rPr>
          <w:rFonts w:ascii="Times New Roman" w:hAnsi="Times New Roman"/>
          <w:b/>
          <w:color w:val="000000"/>
          <w:sz w:val="20"/>
        </w:rPr>
        <w:t>PART I</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THE HAIN CELESTIAL GROUP, INC.</w:t>
      </w:r>
    </w:p>
    <w:p>
      <w:pPr>
        <w:pStyle w:val="TextBody"/>
        <w:bidi w:val="0"/>
        <w:spacing w:before="200" w:after="283"/>
        <w:jc w:val="both"/>
        <w:rPr>
          <w:rFonts w:ascii="Times New Roman" w:hAnsi="Times New Roman"/>
          <w:b/>
          <w:color w:val="000000"/>
          <w:sz w:val="20"/>
        </w:rPr>
      </w:pPr>
      <w:bookmarkStart w:id="4" w:name="item_1_business"/>
      <w:bookmarkEnd w:id="4"/>
      <w:r>
        <w:rPr>
          <w:rFonts w:ascii="Times New Roman" w:hAnsi="Times New Roman"/>
          <w:b/>
          <w:color w:val="000000"/>
          <w:sz w:val="20"/>
        </w:rPr>
        <w:t>Item 1. Business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around the world. </w:t>
      </w:r>
    </w:p>
    <w:p>
      <w:pPr>
        <w:pStyle w:val="TextBody"/>
        <w:bidi w:val="0"/>
        <w:spacing w:lineRule="auto" w:line="360" w:before="200" w:after="160"/>
        <w:jc w:val="both"/>
        <w:rPr>
          <w:rFonts w:ascii="Times New Roman" w:hAnsi="Times New Roman"/>
          <w:sz w:val="13"/>
        </w:rPr>
      </w:pPr>
      <w:r>
        <w:rPr>
          <w:rFonts w:ascii="Times New Roman" w:hAnsi="Times New Roman"/>
          <w:color w:val="000000"/>
          <w:sz w:val="20"/>
        </w:rPr>
        <w:t>The Company’s leading brands include Celestial Seasonings</w:t>
      </w:r>
      <w:r>
        <w:rPr>
          <w:rFonts w:ascii="Times New Roman" w:hAnsi="Times New Roman"/>
          <w:color w:val="000000"/>
          <w:sz w:val="13"/>
        </w:rPr>
        <w:t xml:space="preserve">® </w:t>
      </w:r>
      <w:r>
        <w:rPr>
          <w:rFonts w:ascii="Times New Roman" w:hAnsi="Times New Roman"/>
          <w:color w:val="000000"/>
          <w:sz w:val="20"/>
        </w:rPr>
        <w:t>teas, The Greek Gods</w:t>
      </w:r>
      <w:r>
        <w:rPr>
          <w:rFonts w:ascii="Times New Roman" w:hAnsi="Times New Roman"/>
          <w:color w:val="000000"/>
          <w:sz w:val="13"/>
        </w:rPr>
        <w:t xml:space="preserve">® </w:t>
      </w:r>
      <w:r>
        <w:rPr>
          <w:rFonts w:ascii="Times New Roman" w:hAnsi="Times New Roman"/>
          <w:color w:val="000000"/>
          <w:sz w:val="20"/>
        </w:rPr>
        <w:t>yogurt, Earth’s Best</w:t>
      </w:r>
      <w:r>
        <w:rPr>
          <w:rFonts w:ascii="Times New Roman" w:hAnsi="Times New Roman"/>
          <w:color w:val="000000"/>
          <w:sz w:val="13"/>
        </w:rPr>
        <w:t xml:space="preserve">® </w:t>
      </w:r>
      <w:r>
        <w:rPr>
          <w:rFonts w:ascii="Times New Roman" w:hAnsi="Times New Roman"/>
          <w:color w:val="000000"/>
          <w:sz w:val="20"/>
        </w:rPr>
        <w:t>Organic and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among others.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year 2025, we announced that our Board of Directors was conducting a comprehensive review of the Company’s portfolio with the assistance of our independent financial advisor.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North American Snacks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part of this review, on February 27, 2026, the Company completed the sale (the “North American Snacks Transaction”) of its North American Snacks business, including Garden Veggie Snacks, Terra</w:t>
      </w:r>
      <w:r>
        <w:rPr>
          <w:rFonts w:ascii="Times New Roman" w:hAnsi="Times New Roman"/>
          <w:color w:val="000000"/>
          <w:sz w:val="13"/>
        </w:rPr>
        <w:t xml:space="preserve">® </w:t>
      </w:r>
      <w:r>
        <w:rPr>
          <w:rFonts w:ascii="Times New Roman" w:hAnsi="Times New Roman"/>
          <w:color w:val="000000"/>
          <w:sz w:val="20"/>
        </w:rPr>
        <w:t>chips and Garden of Eatin’</w:t>
      </w:r>
      <w:r>
        <w:rPr>
          <w:rFonts w:ascii="Times New Roman" w:hAnsi="Times New Roman"/>
          <w:color w:val="000000"/>
          <w:sz w:val="13"/>
        </w:rPr>
        <w:t xml:space="preserve">® </w:t>
      </w:r>
      <w:r>
        <w:rPr>
          <w:rFonts w:ascii="Times New Roman" w:hAnsi="Times New Roman"/>
          <w:color w:val="000000"/>
          <w:sz w:val="20"/>
        </w:rPr>
        <w:t>snacks as well as certain private label products (the “North American Snacks Business”) and received $111.2 million in cash, reflecting the total purchase price of $115.0 million less the holdback of an estimate for a customary inventory adjustment, which was finalized following the closing. The Company used the net proceeds of $101.1 million from the North American Snacks Transaction to reduce the Company’s indebtedness.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International Business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an additional step in the strategic review, on September 12, 2026, the Company entered into a Share Purchase Agreement (the “Purchase Agreement”) with entities (the “Purchasers”) affiliated with global private equity firm AURELIUS pursuant to which, subject to the terms and conditions set forth therein, the Purchasers have agreed to acquire from the Company (the “International Business Transaction”) the entities that operate Hain Celestial’s International business in the United Kingdom, Ireland and Europe, including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(collectively, the “International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gross sale price for the International Business Transaction is £233.0 million, plus an additional locked box ticker amount expected to be approximately £5.5 million (depending on the date on which closing occurs) to compensate the Company for profits of the International Business during a specified period, for an estimated aggregate gross sale price of £238.5 million, or approximately $323.2 million. The aggregate net cash proceeds to be realized, after transaction expenses and taxes and including cash to be distributed from the International Business prior to closing, are expected to be between £225.1 million and £228.8 million, or between approximately $305.0 million and $310.0 million. Upon closing of the International Business Transaction, the Company would use the net proceeds to reduce the Company’s indebtedness. The foregoing U.S. Dollar figures are based on current foreign exchange rates and are subject to change based on foreign exchange rates in effect at the time the International Business Transaction closes.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Consummation of the International Business Transaction is subject to the following closing conditions: (1) customary regulatory consents, approvals or non-objections from regulatory authorities in the United Kingdom, Austria, Ireland, Germany and Belgium, and (2) by October 12, 2026, the Company and its lenders entering into an amendment of the Company’s credit agreement, which currently has a maturity date of December 22, 2026, to extend such maturity date by not less than nine months. If the credit agreement amendment is not entered into by October 12, 2026, the Purchasers may terminate the Purchase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discussions with its lenders to reach an agreement on an amendment of the Company’s credit agreement that would satisfy the closing condition for the International Business Transaction. While there can be no assurance that a credit agreement amendment will be obtained, the Company’s Board of Directors believes that extending the maturity date and completing the International Business Transaction would be in the best interests of the Company and its stakeholders.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Subject to the satisfaction of the closing conditions, the International Business Transaction is currently expected to close in the Company’s fiscal second quarter ending December 31,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continuously evaluate our existing products for quality, taste, nutritional value and cost and make improvements where possible. We discontinue products or stock keeping units when sales of those items do not warrant further production. The following section details the various products that are categorized under distinct brands corresponding to our reportable segments.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President and Chief Executive Officer is the CODM of the Company. The Company’s measure of segment profitability is Adjusted EBITDA and the CODM also uses net sales in order to analyze segment results and trends to allocate resources. On a monthly basis, the CODM reviews how actual results compare to forecasts and prior periods when making decisions regarding strategic initiatives and capital investments to segments. </w:t>
      </w:r>
    </w:p>
    <w:p>
      <w:pPr>
        <w:pStyle w:val="TextBody"/>
        <w:bidi w:val="0"/>
        <w:spacing w:before="40" w:after="283"/>
        <w:jc w:val="both"/>
        <w:rPr>
          <w:rFonts w:ascii="Times New Roman" w:hAnsi="Times New Roman"/>
          <w:sz w:val="20"/>
        </w:rPr>
      </w:pPr>
      <w:r>
        <w:rPr>
          <w:rFonts w:ascii="Times New Roman" w:hAnsi="Times New Roman"/>
          <w:color w:val="000000"/>
          <w:sz w:val="20"/>
        </w:rPr>
        <w:t xml:space="preserve">See “Management’s Discussion and Analysis of Financial Condition and Results of Operations” in Item 7 and Note 20,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Part II, Item 8 of this Form 10-K for additional details.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North America Segment:</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are sold throughout the U.S. Our customer base consists principally of supermarkets and natural food stores, mass-market, club stores, specialty and natural food distributors, e-commerce retailers, and away from home channels, including drug and convenience stores and food service. Our products are sold through a combination of direct salespeople, brokers and distributors. We believe that our direct salespeople combined with brokers and distributors provide an effective means of reaching a broad and diverse customer base. Brokers act as agents for us within designated territories and receive commissions. A portion of our direct sales force is organized into dedicated teams to serve our significant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significant portion of the products marketed by us are sold through independent distributors. Food distributors purchase products from us for resale to retailers.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brands sold in the U.S. include:</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Yogurt products include The Greek Gods</w:t>
      </w:r>
      <w:r>
        <w:rPr>
          <w:rFonts w:ascii="Times New Roman" w:hAnsi="Times New Roman"/>
          <w:color w:val="000000"/>
          <w:sz w:val="13"/>
        </w:rPr>
        <w:t xml:space="preserve">® </w:t>
      </w:r>
      <w:r>
        <w:rPr>
          <w:rFonts w:ascii="Times New Roman" w:hAnsi="Times New Roman"/>
          <w:color w:val="000000"/>
          <w:sz w:val="20"/>
        </w:rPr>
        <w:t>Greek-style yogurt products.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Tea products under the Celestial Seasonings</w:t>
      </w:r>
      <w:r>
        <w:rPr>
          <w:rFonts w:ascii="Times New Roman" w:hAnsi="Times New Roman"/>
          <w:color w:val="000000"/>
          <w:sz w:val="13"/>
        </w:rPr>
        <w:t xml:space="preserve">® </w:t>
      </w:r>
      <w:r>
        <w:rPr>
          <w:rFonts w:ascii="Times New Roman" w:hAnsi="Times New Roman"/>
          <w:color w:val="000000"/>
          <w:sz w:val="20"/>
        </w:rPr>
        <w:t>brand and include varieties of herbal, green, black, wellness, rooibos and chai teas, with well-known names and products such as Sleepytime</w:t>
      </w:r>
      <w:r>
        <w:rPr>
          <w:rFonts w:ascii="Times New Roman" w:hAnsi="Times New Roman"/>
          <w:color w:val="000000"/>
          <w:sz w:val="13"/>
        </w:rPr>
        <w:t>®</w:t>
      </w:r>
      <w:r>
        <w:rPr>
          <w:rFonts w:ascii="Times New Roman" w:hAnsi="Times New Roman"/>
          <w:color w:val="000000"/>
          <w:sz w:val="20"/>
        </w:rPr>
        <w:t>, Lemon Zinger</w:t>
      </w:r>
      <w:r>
        <w:rPr>
          <w:rFonts w:ascii="Times New Roman" w:hAnsi="Times New Roman"/>
          <w:color w:val="000000"/>
          <w:sz w:val="13"/>
        </w:rPr>
        <w:t>®</w:t>
      </w:r>
      <w:r>
        <w:rPr>
          <w:rFonts w:ascii="Times New Roman" w:hAnsi="Times New Roman"/>
          <w:color w:val="000000"/>
          <w:sz w:val="20"/>
        </w:rPr>
        <w:t>, Red Zinger</w:t>
      </w:r>
      <w:r>
        <w:rPr>
          <w:rFonts w:ascii="Times New Roman" w:hAnsi="Times New Roman"/>
          <w:color w:val="000000"/>
          <w:sz w:val="13"/>
        </w:rPr>
        <w:t>®</w:t>
      </w:r>
      <w:r>
        <w:rPr>
          <w:rFonts w:ascii="Times New Roman" w:hAnsi="Times New Roman"/>
          <w:color w:val="000000"/>
          <w:sz w:val="20"/>
        </w:rPr>
        <w:t>,</w:t>
      </w:r>
      <w:r>
        <w:rPr>
          <w:rFonts w:ascii="Times New Roman" w:hAnsi="Times New Roman"/>
          <w:color w:val="000000"/>
          <w:sz w:val="13"/>
        </w:rPr>
        <w:t xml:space="preserve"> </w:t>
      </w:r>
      <w:r>
        <w:rPr>
          <w:rFonts w:ascii="Times New Roman" w:hAnsi="Times New Roman"/>
          <w:color w:val="000000"/>
          <w:sz w:val="20"/>
        </w:rPr>
        <w:t>Cinnamon Apple Spice, Bengal Spice</w:t>
      </w:r>
      <w:r>
        <w:rPr>
          <w:rFonts w:ascii="Times New Roman" w:hAnsi="Times New Roman"/>
          <w:color w:val="000000"/>
          <w:sz w:val="13"/>
        </w:rPr>
        <w:t>®</w:t>
      </w:r>
      <w:r>
        <w:rPr>
          <w:rFonts w:ascii="Times New Roman" w:hAnsi="Times New Roman"/>
          <w:color w:val="000000"/>
          <w:sz w:val="20"/>
        </w:rPr>
        <w:t>, Country Peach Passion</w:t>
      </w:r>
      <w:r>
        <w:rPr>
          <w:rFonts w:ascii="Times New Roman" w:hAnsi="Times New Roman"/>
          <w:color w:val="000000"/>
          <w:sz w:val="13"/>
        </w:rPr>
        <w:t xml:space="preserve">® </w:t>
      </w:r>
      <w:r>
        <w:rPr>
          <w:rFonts w:ascii="Times New Roman" w:hAnsi="Times New Roman"/>
          <w:color w:val="000000"/>
          <w:sz w:val="20"/>
        </w:rPr>
        <w:t>and Tea Well</w:t>
      </w:r>
      <w:r>
        <w:rPr>
          <w:rFonts w:ascii="Times New Roman" w:hAnsi="Times New Roman"/>
          <w:color w:val="000000"/>
          <w:sz w:val="13"/>
        </w:rPr>
        <w: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Baby and kid food products include infant cereals, baby food pouches, snacks, infant and toddler formula, and frozen toddler and kids’ foods under the Earth’s Best</w:t>
      </w:r>
      <w:r>
        <w:rPr>
          <w:rFonts w:ascii="Times New Roman" w:hAnsi="Times New Roman"/>
          <w:color w:val="000000"/>
          <w:sz w:val="13"/>
        </w:rPr>
        <w:t xml:space="preserve">® </w:t>
      </w:r>
      <w:r>
        <w:rPr>
          <w:rFonts w:ascii="Times New Roman" w:hAnsi="Times New Roman"/>
          <w:color w:val="000000"/>
          <w:sz w:val="20"/>
        </w:rPr>
        <w:t>brand.</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Pantry products include Spectrum</w:t>
      </w:r>
      <w:r>
        <w:rPr>
          <w:rFonts w:ascii="Times New Roman" w:hAnsi="Times New Roman"/>
          <w:color w:val="000000"/>
          <w:sz w:val="13"/>
        </w:rPr>
        <w:t xml:space="preserve">® </w:t>
      </w:r>
      <w:r>
        <w:rPr>
          <w:rFonts w:ascii="Times New Roman" w:hAnsi="Times New Roman"/>
          <w:color w:val="000000"/>
          <w:sz w:val="20"/>
        </w:rPr>
        <w:t>culinary oils, vinegars and condiments, Spectrum Essentials</w:t>
      </w:r>
      <w:r>
        <w:rPr>
          <w:rFonts w:ascii="Times New Roman" w:hAnsi="Times New Roman"/>
          <w:color w:val="000000"/>
          <w:sz w:val="13"/>
        </w:rPr>
        <w:t xml:space="preserve">® </w:t>
      </w:r>
      <w:r>
        <w:rPr>
          <w:rFonts w:ascii="Times New Roman" w:hAnsi="Times New Roman"/>
          <w:color w:val="000000"/>
          <w:sz w:val="20"/>
        </w:rPr>
        <w:t>nutritional oils and supplements, MaraNatha</w:t>
      </w:r>
      <w:r>
        <w:rPr>
          <w:rFonts w:ascii="Times New Roman" w:hAnsi="Times New Roman"/>
          <w:color w:val="000000"/>
          <w:sz w:val="13"/>
        </w:rPr>
        <w:t xml:space="preserve">® </w:t>
      </w:r>
      <w:r>
        <w:rPr>
          <w:rFonts w:ascii="Times New Roman" w:hAnsi="Times New Roman"/>
          <w:color w:val="000000"/>
          <w:sz w:val="20"/>
        </w:rPr>
        <w:t>nut butters and Imagine</w:t>
      </w:r>
      <w:r>
        <w:rPr>
          <w:rFonts w:ascii="Times New Roman" w:hAnsi="Times New Roman"/>
          <w:color w:val="000000"/>
          <w:sz w:val="13"/>
        </w:rPr>
        <w:t xml:space="preserve">® </w:t>
      </w:r>
      <w:r>
        <w:rPr>
          <w:rFonts w:ascii="Times New Roman" w:hAnsi="Times New Roman"/>
          <w:color w:val="000000"/>
          <w:sz w:val="20"/>
        </w:rPr>
        <w:t>broths.</w:t>
      </w:r>
    </w:p>
    <w:p>
      <w:pPr>
        <w:pStyle w:val="TextBody"/>
        <w:bidi w:val="0"/>
        <w:spacing w:before="0" w:after="0"/>
        <w:jc w:val="both"/>
        <w:rPr>
          <w:color w:val="000000"/>
        </w:rPr>
      </w:pPr>
      <w:r>
        <w:rPr>
          <w:color w:val="000000"/>
        </w:rPr>
        <w:t>•</w:t>
      </w:r>
    </w:p>
    <w:p>
      <w:pPr>
        <w:pStyle w:val="TextBody"/>
        <w:bidi w:val="0"/>
        <w:spacing w:lineRule="auto" w:line="360"/>
        <w:jc w:val="both"/>
        <w:rPr>
          <w:rFonts w:ascii="Times New Roman" w:hAnsi="Times New Roman"/>
          <w:sz w:val="13"/>
        </w:rPr>
      </w:pPr>
      <w:r>
        <w:rPr>
          <w:rFonts w:ascii="Times New Roman" w:hAnsi="Times New Roman"/>
          <w:color w:val="000000"/>
          <w:sz w:val="20"/>
        </w:rPr>
        <w:t>Personal care products include hand, skin, hair and sun care products under the Alba Botanica</w:t>
      </w:r>
      <w:r>
        <w:rPr>
          <w:rFonts w:ascii="Times New Roman" w:hAnsi="Times New Roman"/>
          <w:color w:val="000000"/>
          <w:sz w:val="13"/>
        </w:rPr>
        <w:t>®</w:t>
      </w:r>
      <w:r>
        <w:rPr>
          <w:rFonts w:ascii="Times New Roman" w:hAnsi="Times New Roman"/>
          <w:color w:val="000000"/>
          <w:sz w:val="20"/>
        </w:rPr>
        <w:t>, Avalon Organics</w:t>
      </w:r>
      <w:r>
        <w:rPr>
          <w:rFonts w:ascii="Times New Roman" w:hAnsi="Times New Roman"/>
          <w:color w:val="000000"/>
          <w:sz w:val="13"/>
        </w:rPr>
        <w:t xml:space="preserve">® </w:t>
      </w:r>
      <w:r>
        <w:rPr>
          <w:rFonts w:ascii="Times New Roman" w:hAnsi="Times New Roman"/>
          <w:color w:val="000000"/>
          <w:sz w:val="20"/>
        </w:rPr>
        <w:t>and JASON</w:t>
      </w:r>
      <w:r>
        <w:rPr>
          <w:rFonts w:ascii="Times New Roman" w:hAnsi="Times New Roman"/>
          <w:color w:val="000000"/>
          <w:sz w:val="13"/>
        </w:rPr>
        <w:t xml:space="preserve">® </w:t>
      </w:r>
      <w:r>
        <w:rPr>
          <w:rFonts w:ascii="Times New Roman" w:hAnsi="Times New Roman"/>
          <w:color w:val="000000"/>
          <w:sz w:val="20"/>
        </w:rPr>
        <w:t>brands.</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Canada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products are sold throughout Canada. Our customer base consists principally of grocery supermarkets, club stores, mass merchandisers, natural food distributors, drug store chains, personal care distributors, and food service distributors. Our products are sold through our own retail direct sales force. We also utilize third-party brokers who receive commissions and sell to food service and retail customers. We utilize a third-party merchandising team for retail execution. As in the U.S., a portion of the products marketed by us are sold through independent distributors.</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The brands sold in Canada include the Greek Gods</w:t>
      </w:r>
      <w:r>
        <w:rPr>
          <w:rFonts w:ascii="Times New Roman" w:hAnsi="Times New Roman"/>
          <w:color w:val="000000"/>
          <w:sz w:val="13"/>
        </w:rPr>
        <w:t xml:space="preserve">® </w:t>
      </w:r>
      <w:r>
        <w:rPr>
          <w:rFonts w:ascii="Times New Roman" w:hAnsi="Times New Roman"/>
          <w:color w:val="000000"/>
          <w:sz w:val="20"/>
        </w:rPr>
        <w:t>Greek-style yogurt, tea products under the Celestial Seasonings</w:t>
      </w:r>
      <w:r>
        <w:rPr>
          <w:rFonts w:ascii="Times New Roman" w:hAnsi="Times New Roman"/>
          <w:color w:val="000000"/>
          <w:sz w:val="13"/>
        </w:rPr>
        <w:t xml:space="preserve">® </w:t>
      </w:r>
      <w:r>
        <w:rPr>
          <w:rFonts w:ascii="Times New Roman" w:hAnsi="Times New Roman"/>
          <w:color w:val="000000"/>
          <w:sz w:val="20"/>
        </w:rPr>
        <w:t>brand, Imagine</w:t>
      </w:r>
      <w:r>
        <w:rPr>
          <w:rFonts w:ascii="Times New Roman" w:hAnsi="Times New Roman"/>
          <w:color w:val="000000"/>
          <w:sz w:val="13"/>
        </w:rPr>
        <w:t xml:space="preserve">® </w:t>
      </w:r>
      <w:r>
        <w:rPr>
          <w:rFonts w:ascii="Times New Roman" w:hAnsi="Times New Roman"/>
          <w:color w:val="000000"/>
          <w:sz w:val="20"/>
        </w:rPr>
        <w:t>soups, Earth’s Best</w:t>
      </w:r>
      <w:r>
        <w:rPr>
          <w:rFonts w:ascii="Times New Roman" w:hAnsi="Times New Roman"/>
          <w:color w:val="000000"/>
          <w:sz w:val="13"/>
        </w:rPr>
        <w:t xml:space="preserve">® </w:t>
      </w:r>
      <w:r>
        <w:rPr>
          <w:rFonts w:ascii="Times New Roman" w:hAnsi="Times New Roman"/>
          <w:color w:val="000000"/>
          <w:sz w:val="20"/>
        </w:rPr>
        <w:t>infant formula, MaraNatha</w:t>
      </w:r>
      <w:r>
        <w:rPr>
          <w:rFonts w:ascii="Times New Roman" w:hAnsi="Times New Roman"/>
          <w:color w:val="000000"/>
          <w:sz w:val="13"/>
        </w:rPr>
        <w:t xml:space="preserve">® </w:t>
      </w:r>
      <w:r>
        <w:rPr>
          <w:rFonts w:ascii="Times New Roman" w:hAnsi="Times New Roman"/>
          <w:color w:val="000000"/>
          <w:sz w:val="20"/>
        </w:rPr>
        <w:t>nut butters, Spectrum</w:t>
      </w:r>
      <w:r>
        <w:rPr>
          <w:rFonts w:ascii="Times New Roman" w:hAnsi="Times New Roman"/>
          <w:color w:val="000000"/>
          <w:sz w:val="13"/>
        </w:rPr>
        <w:t xml:space="preserve">® </w:t>
      </w:r>
      <w:r>
        <w:rPr>
          <w:rFonts w:ascii="Times New Roman" w:hAnsi="Times New Roman"/>
          <w:color w:val="000000"/>
          <w:sz w:val="20"/>
        </w:rPr>
        <w:t>cooking and culinary oils, and Robertson’s</w:t>
      </w:r>
      <w:r>
        <w:rPr>
          <w:rFonts w:ascii="Times New Roman" w:hAnsi="Times New Roman"/>
          <w:color w:val="000000"/>
          <w:sz w:val="13"/>
        </w:rPr>
        <w:t xml:space="preserve">® </w:t>
      </w:r>
      <w:r>
        <w:rPr>
          <w:rFonts w:ascii="Times New Roman" w:hAnsi="Times New Roman"/>
          <w:color w:val="000000"/>
          <w:sz w:val="20"/>
        </w:rPr>
        <w:t>marmalades. Our personal care products include skin, hair and oral care products, sun care products and deodorants under the</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Alba Botanica</w:t>
      </w:r>
      <w:r>
        <w:rPr>
          <w:rFonts w:ascii="Times New Roman" w:hAnsi="Times New Roman"/>
          <w:color w:val="000000"/>
          <w:sz w:val="13"/>
        </w:rPr>
        <w:t>®</w:t>
      </w:r>
      <w:r>
        <w:rPr>
          <w:rFonts w:ascii="Times New Roman" w:hAnsi="Times New Roman"/>
          <w:color w:val="000000"/>
          <w:sz w:val="20"/>
        </w:rPr>
        <w:t>, Avalon Organics</w:t>
      </w:r>
      <w:r>
        <w:rPr>
          <w:rFonts w:ascii="Times New Roman" w:hAnsi="Times New Roman"/>
          <w:color w:val="000000"/>
          <w:sz w:val="13"/>
        </w:rPr>
        <w:t>®</w:t>
      </w:r>
      <w:r>
        <w:rPr>
          <w:rFonts w:ascii="Times New Roman" w:hAnsi="Times New Roman"/>
          <w:color w:val="000000"/>
          <w:sz w:val="20"/>
        </w:rPr>
        <w:t>, JASON</w:t>
      </w:r>
      <w:r>
        <w:rPr>
          <w:rFonts w:ascii="Times New Roman" w:hAnsi="Times New Roman"/>
          <w:color w:val="000000"/>
          <w:sz w:val="13"/>
        </w:rPr>
        <w:t xml:space="preserve">® </w:t>
      </w:r>
      <w:r>
        <w:rPr>
          <w:rFonts w:ascii="Times New Roman" w:hAnsi="Times New Roman"/>
          <w:color w:val="000000"/>
          <w:sz w:val="20"/>
        </w:rPr>
        <w:t>and Live Clean</w:t>
      </w:r>
      <w:r>
        <w:rPr>
          <w:rFonts w:ascii="Times New Roman" w:hAnsi="Times New Roman"/>
          <w:color w:val="000000"/>
          <w:sz w:val="13"/>
        </w:rPr>
        <w:t xml:space="preserve">® </w:t>
      </w:r>
      <w:r>
        <w:rPr>
          <w:rFonts w:ascii="Times New Roman" w:hAnsi="Times New Roman"/>
          <w:color w:val="000000"/>
          <w:sz w:val="20"/>
        </w:rPr>
        <w:t>brands. During the fiscal year 2026, we completed the closure of the Yves Veggie Cuisine</w:t>
      </w:r>
      <w:r>
        <w:rPr>
          <w:rFonts w:ascii="Times New Roman" w:hAnsi="Times New Roman"/>
          <w:color w:val="000000"/>
          <w:sz w:val="13"/>
        </w:rPr>
        <w:t xml:space="preserve">® </w:t>
      </w:r>
      <w:r>
        <w:rPr>
          <w:rFonts w:ascii="Times New Roman" w:hAnsi="Times New Roman"/>
          <w:color w:val="000000"/>
          <w:sz w:val="20"/>
        </w:rPr>
        <w:t>refrigerated and frozen meat-alternative snacks and meals business and sold associated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International Segment:</w:t>
      </w:r>
    </w:p>
    <w:p>
      <w:pPr>
        <w:pStyle w:val="TextBody"/>
        <w:bidi w:val="0"/>
        <w:spacing w:before="200" w:after="283"/>
        <w:jc w:val="both"/>
        <w:rPr>
          <w:rFonts w:ascii="Times New Roman" w:hAnsi="Times New Roman"/>
          <w:i/>
          <w:color w:val="000000"/>
          <w:sz w:val="20"/>
          <w:u w:val="single"/>
        </w:rPr>
      </w:pPr>
      <w:r>
        <w:rPr>
          <w:rFonts w:ascii="Times New Roman" w:hAnsi="Times New Roman"/>
          <w:i/>
          <w:color w:val="000000"/>
          <w:sz w:val="20"/>
          <w:u w:val="single"/>
        </w:rPr>
        <w:t>United Kingdom</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 the United Kingdom, our products include baby and toddler food, soups, plant-based and meat-free dishes and meals, as well as ambient products such as jams, fruit spreads, jellies, marmalades, nut butters, syrups and dessert sauces.</w:t>
      </w:r>
    </w:p>
    <w:p>
      <w:pPr>
        <w:pStyle w:val="TextBody"/>
        <w:bidi w:val="0"/>
        <w:spacing w:lineRule="auto" w:line="360" w:before="0" w:after="160"/>
        <w:jc w:val="both"/>
        <w:rPr>
          <w:rFonts w:ascii="Times New Roman" w:hAnsi="Times New Roman"/>
          <w:sz w:val="13"/>
        </w:rPr>
      </w:pPr>
      <w:r>
        <w:rPr>
          <w:rFonts w:ascii="Times New Roman" w:hAnsi="Times New Roman"/>
          <w:color w:val="000000"/>
          <w:sz w:val="20"/>
        </w:rPr>
        <w:t>The products sold in the United Kingdom include Ella’s Kitchen</w:t>
      </w:r>
      <w:r>
        <w:rPr>
          <w:rFonts w:ascii="Times New Roman" w:hAnsi="Times New Roman"/>
          <w:color w:val="000000"/>
          <w:sz w:val="13"/>
        </w:rPr>
        <w:t xml:space="preserve">® </w:t>
      </w:r>
      <w:r>
        <w:rPr>
          <w:rFonts w:ascii="Times New Roman" w:hAnsi="Times New Roman"/>
          <w:color w:val="000000"/>
          <w:sz w:val="20"/>
        </w:rPr>
        <w:t>premium organic infant and toddler foods, New Covent Garden Soup Co.</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 xml:space="preserve">® </w:t>
      </w:r>
      <w:r>
        <w:rPr>
          <w:rFonts w:ascii="Times New Roman" w:hAnsi="Times New Roman"/>
          <w:color w:val="000000"/>
          <w:sz w:val="20"/>
        </w:rPr>
        <w:t>and Cully and Sully</w:t>
      </w:r>
      <w:r>
        <w:rPr>
          <w:rFonts w:ascii="Times New Roman" w:hAnsi="Times New Roman"/>
          <w:color w:val="000000"/>
          <w:sz w:val="13"/>
        </w:rPr>
        <w:t xml:space="preserve">® </w:t>
      </w:r>
      <w:r>
        <w:rPr>
          <w:rFonts w:ascii="Times New Roman" w:hAnsi="Times New Roman"/>
          <w:color w:val="000000"/>
          <w:sz w:val="20"/>
        </w:rPr>
        <w:t>chilled soups, private label and Farmhouse Fare</w:t>
      </w:r>
      <w:r>
        <w:rPr>
          <w:rFonts w:ascii="Times New Roman" w:hAnsi="Times New Roman"/>
          <w:color w:val="000000"/>
          <w:sz w:val="13"/>
        </w:rPr>
        <w:t xml:space="preserve"> </w:t>
      </w:r>
      <w:r>
        <w:rPr>
          <w:rFonts w:ascii="Times New Roman" w:hAnsi="Times New Roman"/>
          <w:color w:val="000000"/>
          <w:sz w:val="20"/>
        </w:rPr>
        <w:t>hot-eat desserts, Linda McCartney’s</w:t>
      </w:r>
      <w:r>
        <w:rPr>
          <w:rFonts w:ascii="Times New Roman" w:hAnsi="Times New Roman"/>
          <w:color w:val="000000"/>
          <w:sz w:val="13"/>
        </w:rPr>
        <w:t xml:space="preserve">® </w:t>
      </w:r>
      <w:r>
        <w:rPr>
          <w:rFonts w:ascii="Times New Roman" w:hAnsi="Times New Roman"/>
          <w:color w:val="000000"/>
          <w:sz w:val="20"/>
        </w:rPr>
        <w:t>(under license) frozen plant-based dishes and meals, Hartley’s</w:t>
      </w:r>
      <w:r>
        <w:rPr>
          <w:rFonts w:ascii="Times New Roman" w:hAnsi="Times New Roman"/>
          <w:color w:val="000000"/>
          <w:sz w:val="13"/>
        </w:rPr>
        <w:t xml:space="preserve">® </w:t>
      </w:r>
      <w:r>
        <w:rPr>
          <w:rFonts w:ascii="Times New Roman" w:hAnsi="Times New Roman"/>
          <w:color w:val="000000"/>
          <w:sz w:val="20"/>
        </w:rPr>
        <w:t>jams, fruit spreads and jellies, Sun-Pat</w:t>
      </w:r>
      <w:r>
        <w:rPr>
          <w:rFonts w:ascii="Times New Roman" w:hAnsi="Times New Roman"/>
          <w:color w:val="000000"/>
          <w:sz w:val="13"/>
        </w:rPr>
        <w:t xml:space="preserve">® </w:t>
      </w:r>
      <w:r>
        <w:rPr>
          <w:rFonts w:ascii="Times New Roman" w:hAnsi="Times New Roman"/>
          <w:color w:val="000000"/>
          <w:sz w:val="20"/>
        </w:rPr>
        <w:t>nut butters, Clarks natural sweeteners and Robertson’s</w:t>
      </w:r>
      <w:r>
        <w:rPr>
          <w:rFonts w:ascii="Times New Roman" w:hAnsi="Times New Roman"/>
          <w:color w:val="000000"/>
          <w:sz w:val="13"/>
        </w:rPr>
        <w:t>®</w:t>
      </w:r>
      <w:r>
        <w:rPr>
          <w:rFonts w:ascii="Times New Roman" w:hAnsi="Times New Roman"/>
          <w:color w:val="000000"/>
          <w:sz w:val="20"/>
        </w:rPr>
        <w:t>, Frank Cooper’s</w:t>
      </w:r>
      <w:r>
        <w:rPr>
          <w:rFonts w:ascii="Times New Roman" w:hAnsi="Times New Roman"/>
          <w:color w:val="000000"/>
          <w:sz w:val="13"/>
        </w:rPr>
        <w:t xml:space="preserve">® </w:t>
      </w:r>
      <w:r>
        <w:rPr>
          <w:rFonts w:ascii="Times New Roman" w:hAnsi="Times New Roman"/>
          <w:color w:val="000000"/>
          <w:sz w:val="20"/>
        </w:rPr>
        <w:t>and Rose’s</w:t>
      </w:r>
      <w:r>
        <w:rPr>
          <w:rFonts w:ascii="Times New Roman" w:hAnsi="Times New Roman"/>
          <w:color w:val="000000"/>
          <w:sz w:val="13"/>
        </w:rPr>
        <w:t xml:space="preserve">® </w:t>
      </w:r>
      <w:r>
        <w:rPr>
          <w:rFonts w:ascii="Times New Roman" w:hAnsi="Times New Roman"/>
          <w:color w:val="000000"/>
          <w:sz w:val="20"/>
        </w:rPr>
        <w:t>(under license) marmalades and conserves. We also provide a comprehensive range of private label products to many grocery and organic food retailers, convenience stores and food service providers in the following categories: fresh soup, chilled desserts, meat-free dishes and meals and ambient grocery products.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products are principally sold throughout the United Kingdom and Ireland but are also sold in Europe and other parts of the world. Our customer base consists principally of retailers, convenience stores, food service providers, business to business, natural food and ethnic specialty distributors, club stores, e-commerce retailers and wholesalers.</w:t>
      </w:r>
    </w:p>
    <w:p>
      <w:pPr>
        <w:pStyle w:val="TextBody"/>
        <w:bidi w:val="0"/>
        <w:spacing w:before="40" w:after="283"/>
        <w:jc w:val="both"/>
        <w:rPr>
          <w:rFonts w:ascii="Times New Roman" w:hAnsi="Times New Roman"/>
          <w:i/>
          <w:color w:val="000000"/>
          <w:sz w:val="20"/>
          <w:u w:val="single"/>
        </w:rPr>
      </w:pPr>
      <w:r>
        <w:rPr>
          <w:rFonts w:ascii="Times New Roman" w:hAnsi="Times New Roman"/>
          <w:i/>
          <w:color w:val="000000"/>
          <w:sz w:val="20"/>
          <w:u w:val="single"/>
        </w:rPr>
        <w:t>Western Europe</w:t>
      </w:r>
    </w:p>
    <w:p>
      <w:pPr>
        <w:pStyle w:val="TextBody"/>
        <w:bidi w:val="0"/>
        <w:jc w:val="left"/>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20"/>
        </w:rPr>
        <w:t>Our products sold by the Western Europe reporting unit include, among others, products sold under the Joya</w:t>
      </w:r>
      <w:r>
        <w:rPr>
          <w:rFonts w:ascii="Times New Roman" w:hAnsi="Times New Roman"/>
          <w:color w:val="000000"/>
          <w:sz w:val="13"/>
        </w:rPr>
        <w:t>®</w:t>
      </w:r>
      <w:r>
        <w:rPr>
          <w:rFonts w:ascii="Times New Roman" w:hAnsi="Times New Roman"/>
          <w:color w:val="000000"/>
          <w:sz w:val="20"/>
        </w:rPr>
        <w:t>, Lima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brands. The Lima</w:t>
      </w:r>
      <w:r>
        <w:rPr>
          <w:rFonts w:ascii="Times New Roman" w:hAnsi="Times New Roman"/>
          <w:color w:val="000000"/>
          <w:sz w:val="13"/>
        </w:rPr>
        <w:t xml:space="preserve">® </w:t>
      </w:r>
      <w:r>
        <w:rPr>
          <w:rFonts w:ascii="Times New Roman" w:hAnsi="Times New Roman"/>
          <w:color w:val="000000"/>
          <w:sz w:val="20"/>
        </w:rPr>
        <w:t>brand includes a wide range of organic products such as soy sauce and condiments, plant-based beverages and coffee alternatives. Our Natumi</w:t>
      </w:r>
      <w:r>
        <w:rPr>
          <w:rFonts w:ascii="Times New Roman" w:hAnsi="Times New Roman"/>
          <w:color w:val="000000"/>
          <w:sz w:val="13"/>
        </w:rPr>
        <w:t xml:space="preserve">® </w:t>
      </w:r>
      <w:r>
        <w:rPr>
          <w:rFonts w:ascii="Times New Roman" w:hAnsi="Times New Roman"/>
          <w:color w:val="000000"/>
          <w:sz w:val="20"/>
        </w:rPr>
        <w:t>brand includes plant-based beverages, including rice, almond, soy, oat, cashew and spelt. Our Joya</w:t>
      </w:r>
      <w:r>
        <w:rPr>
          <w:rFonts w:ascii="Times New Roman" w:hAnsi="Times New Roman"/>
          <w:color w:val="000000"/>
          <w:sz w:val="13"/>
        </w:rPr>
        <w:t xml:space="preserve">® </w:t>
      </w:r>
      <w:r>
        <w:rPr>
          <w:rFonts w:ascii="Times New Roman" w:hAnsi="Times New Roman"/>
          <w:color w:val="000000"/>
          <w:sz w:val="20"/>
        </w:rPr>
        <w:t>brand includes soy, almond, oat, rice and nut-based drinks as well as plant-based yogurts, desserts and creamers. We also sell our Hartley’s</w:t>
      </w:r>
      <w:r>
        <w:rPr>
          <w:rFonts w:ascii="Times New Roman" w:hAnsi="Times New Roman"/>
          <w:color w:val="000000"/>
          <w:sz w:val="13"/>
        </w:rPr>
        <w:t xml:space="preserve">® </w:t>
      </w:r>
      <w:r>
        <w:rPr>
          <w:rFonts w:ascii="Times New Roman" w:hAnsi="Times New Roman"/>
          <w:color w:val="000000"/>
          <w:sz w:val="20"/>
        </w:rPr>
        <w:t>jams, fruit spreads and jellies, Celestial Seasonings</w:t>
      </w:r>
      <w:r>
        <w:rPr>
          <w:rFonts w:ascii="Times New Roman" w:hAnsi="Times New Roman"/>
          <w:color w:val="000000"/>
          <w:sz w:val="13"/>
        </w:rPr>
        <w:t xml:space="preserve">® </w:t>
      </w:r>
      <w:r>
        <w:rPr>
          <w:rFonts w:ascii="Times New Roman" w:hAnsi="Times New Roman"/>
          <w:color w:val="000000"/>
          <w:sz w:val="20"/>
        </w:rPr>
        <w:t>teas, Linda McCartney’s</w:t>
      </w:r>
      <w:r>
        <w:rPr>
          <w:rFonts w:ascii="Times New Roman" w:hAnsi="Times New Roman"/>
          <w:color w:val="000000"/>
          <w:sz w:val="13"/>
        </w:rPr>
        <w:t xml:space="preserve">® </w:t>
      </w:r>
      <w:r>
        <w:rPr>
          <w:rFonts w:ascii="Times New Roman" w:hAnsi="Times New Roman"/>
          <w:color w:val="000000"/>
          <w:sz w:val="20"/>
        </w:rPr>
        <w:t>(under license) frozen plant-based dishes and meals, Cully &amp; Sully</w:t>
      </w:r>
      <w:r>
        <w:rPr>
          <w:rFonts w:ascii="Times New Roman" w:hAnsi="Times New Roman"/>
          <w:color w:val="000000"/>
          <w:sz w:val="13"/>
        </w:rPr>
        <w:t xml:space="preserve">® </w:t>
      </w:r>
      <w:r>
        <w:rPr>
          <w:rFonts w:ascii="Times New Roman" w:hAnsi="Times New Roman"/>
          <w:color w:val="000000"/>
          <w:sz w:val="20"/>
        </w:rPr>
        <w:t>chilled soups and ready meals, Happy Rice</w:t>
      </w:r>
      <w:r>
        <w:rPr>
          <w:rFonts w:ascii="Times New Roman" w:hAnsi="Times New Roman"/>
          <w:color w:val="000000"/>
          <w:sz w:val="13"/>
        </w:rPr>
        <w:t xml:space="preserve">® </w:t>
      </w:r>
      <w:r>
        <w:rPr>
          <w:rFonts w:ascii="Times New Roman" w:hAnsi="Times New Roman"/>
          <w:color w:val="000000"/>
          <w:sz w:val="20"/>
        </w:rPr>
        <w:t>drink and private label products in Western Europe.</w:t>
      </w:r>
    </w:p>
    <w:p>
      <w:pPr>
        <w:pStyle w:val="TextBody"/>
        <w:bidi w:val="0"/>
        <w:jc w:val="both"/>
        <w:rPr>
          <w:rFonts w:ascii="Times New Roman" w:hAnsi="Times New Roman"/>
          <w:color w:val="000000"/>
          <w:sz w:val="20"/>
        </w:rPr>
      </w:pPr>
      <w:r>
        <w:rPr>
          <w:rFonts w:ascii="Times New Roman" w:hAnsi="Times New Roman"/>
          <w:color w:val="000000"/>
          <w:sz w:val="20"/>
        </w:rPr>
        <w:br/>
        <w:t>Our products are sold in grocery stores and organic food stores throughout Europe, the Middle East and Africa. Our products are sold using our own direct sales force and local distributors.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Walmart Inc. and its affiliates together accounted for approximately 13% and 18% of our consolidated net sales for the fiscal years ended June 30, 2026 and 2025, respectively, which was related to both of our reportable segments, North America and International. No other customer accounted for at least 10% of our net sales in any of the past two fiscal years.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sell our products to customers worldwide. Sales outside of the U.S. represented approximately 53% and 50% of our consolidated net sales in fiscal 2026 and 2025,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aim to meet the consumer at multiple points in their journey, across the digital and omni channel ecosystem, communicating both in-store and online. We use a combination of trade and consumer advertising and promotion. Trade advertising and promotion include placement fees, cooperative advertising, feature advertising in distribution catalogs and in-store merchandising in prominent and secondary locations.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Consumer advertising and promotion is used to build brand awareness and equity, drive trial to bring in new consumers and retain existing users to increase household penetration and consumption. Paid social and digital advertising, including retailer media and public relations programs, are the main drivers of brand awareness. Trial and conversion tactics include, but are not limited to, product search on search engines and e-commerce sites, digital coupons, product sampling, direct mail and e-consumer relationship programs. Additionally, brand specific websites and social media pages are used to engage consumers with lifestyle, product and usage information related to specific brands.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utilize marketing arrangements with third parties to help create awareness and advocacy and leverage various influencers to help increase brand reach and relevance.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Product Initiatives Through 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Innovation, including new product development, is a key component of our strategy. We continuously seek to understand our consumers and develop products that address changing consumer needs. In addition to developing new products, our research and development staff routinely reformulates and improves existing products based on advances in ingredients, packaging and technology. In addition to our Company-sponsored research and development activities, in order to quickly and economically introduce our new products to market, we may partner with contract manufacturers that make our products according to our formulas or other specifications. The Company also partners with certain customers from time to time on exclusive customer initiatives.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Production/Manufacturing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fiscal 2026 and 2025, approximately 53% and 64%, respectively, of our revenue was derived from products manufactured at our own facilities.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North America reportable segment operates the following manufacturing facilities: </w:t>
      </w:r>
    </w:p>
    <w:p>
      <w:pPr>
        <w:pStyle w:val="TextBody"/>
        <w:bidi w:val="0"/>
        <w:spacing w:before="200" w:after="283"/>
        <w:jc w:val="both"/>
        <w:rPr>
          <w:color w:val="000000"/>
        </w:rPr>
      </w:pPr>
      <w:r>
        <w:rPr>
          <w:color w:val="000000"/>
        </w:rPr>
        <w: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Boulder, Colorado, which produces Celestial Seasonings</w:t>
      </w:r>
      <w:r>
        <w:rPr>
          <w:rFonts w:ascii="Times New Roman" w:hAnsi="Times New Roman"/>
          <w:color w:val="000000"/>
          <w:sz w:val="13"/>
        </w:rPr>
        <w:t xml:space="preserve">® </w:t>
      </w:r>
      <w:r>
        <w:rPr>
          <w:rFonts w:ascii="Times New Roman" w:hAnsi="Times New Roman"/>
          <w:color w:val="000000"/>
          <w:sz w:val="20"/>
        </w:rPr>
        <w:t>teas; and</w:t>
      </w:r>
    </w:p>
    <w:p>
      <w:pPr>
        <w:pStyle w:val="TextBody"/>
        <w:bidi w:val="0"/>
        <w:spacing w:before="0" w:after="0"/>
        <w:jc w:val="both"/>
        <w:rPr>
          <w:color w:val="000000"/>
        </w:rPr>
      </w:pPr>
      <w:r>
        <w:rPr>
          <w:color w:val="000000"/>
        </w:rPr>
        <w:t>•</w:t>
      </w:r>
    </w:p>
    <w:p>
      <w:pPr>
        <w:pStyle w:val="TextBody"/>
        <w:bidi w:val="0"/>
        <w:spacing w:lineRule="auto" w:line="360"/>
        <w:jc w:val="both"/>
        <w:rPr>
          <w:rFonts w:ascii="Times New Roman" w:hAnsi="Times New Roman"/>
          <w:sz w:val="13"/>
        </w:rPr>
      </w:pPr>
      <w:r>
        <w:rPr>
          <w:rFonts w:ascii="Times New Roman" w:hAnsi="Times New Roman"/>
          <w:color w:val="000000"/>
          <w:sz w:val="20"/>
        </w:rPr>
        <w:t>Mississauga, Ontario, which produces Live Clean</w:t>
      </w:r>
      <w:r>
        <w:rPr>
          <w:rFonts w:ascii="Times New Roman" w:hAnsi="Times New Roman"/>
          <w:color w:val="000000"/>
          <w:sz w:val="13"/>
        </w:rPr>
        <w:t>®</w:t>
      </w:r>
      <w:r>
        <w:rPr>
          <w:rFonts w:ascii="Times New Roman" w:hAnsi="Times New Roman"/>
          <w:color w:val="000000"/>
          <w:sz w:val="20"/>
        </w:rPr>
        <w:t>, Alba Botanica</w:t>
      </w:r>
      <w:r>
        <w:rPr>
          <w:rFonts w:ascii="Times New Roman" w:hAnsi="Times New Roman"/>
          <w:color w:val="000000"/>
          <w:sz w:val="13"/>
        </w:rPr>
        <w:t>®</w:t>
      </w:r>
      <w:r>
        <w:rPr>
          <w:rFonts w:ascii="Times New Roman" w:hAnsi="Times New Roman"/>
          <w:color w:val="000000"/>
          <w:sz w:val="20"/>
        </w:rPr>
        <w:t>, Avalon Organics</w:t>
      </w:r>
      <w:r>
        <w:rPr>
          <w:rFonts w:ascii="Times New Roman" w:hAnsi="Times New Roman"/>
          <w:color w:val="000000"/>
          <w:sz w:val="13"/>
        </w:rPr>
        <w:t>®</w:t>
      </w:r>
      <w:r>
        <w:rPr>
          <w:rFonts w:ascii="Times New Roman" w:hAnsi="Times New Roman"/>
          <w:color w:val="000000"/>
          <w:sz w:val="20"/>
        </w:rPr>
        <w:t>, and JASON</w:t>
      </w:r>
      <w:r>
        <w:rPr>
          <w:rFonts w:ascii="Times New Roman" w:hAnsi="Times New Roman"/>
          <w:color w:val="000000"/>
          <w:sz w:val="13"/>
        </w:rPr>
        <w:t xml:space="preserve">® </w:t>
      </w:r>
      <w:r>
        <w:rPr>
          <w:rFonts w:ascii="Times New Roman" w:hAnsi="Times New Roman"/>
          <w:color w:val="000000"/>
          <w:sz w:val="20"/>
        </w:rPr>
        <w:t xml:space="preserve">personal care products (see Note 4, </w:t>
      </w:r>
      <w:r>
        <w:rPr>
          <w:rFonts w:ascii="Times New Roman" w:hAnsi="Times New Roman"/>
          <w:i/>
          <w:color w:val="000000"/>
          <w:sz w:val="20"/>
        </w:rPr>
        <w:t>Assets and Liabilities Held for Sale</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International reportable segment operates the following manufacturing facilities:</w:t>
      </w:r>
    </w:p>
    <w:p>
      <w:pPr>
        <w:pStyle w:val="TextBody"/>
        <w:bidi w:val="0"/>
        <w:spacing w:before="200" w:after="283"/>
        <w:jc w:val="both"/>
        <w:rPr>
          <w:color w:val="000000"/>
        </w:rPr>
      </w:pPr>
      <w:r>
        <w:rPr>
          <w:color w:val="000000"/>
        </w:rPr>
        <w: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Histon, England, which produces our ambient grocery products including Hartley’s</w:t>
      </w:r>
      <w:r>
        <w:rPr>
          <w:rFonts w:ascii="Times New Roman" w:hAnsi="Times New Roman"/>
          <w:color w:val="000000"/>
          <w:sz w:val="13"/>
        </w:rPr>
        <w:t>®</w:t>
      </w:r>
      <w:r>
        <w:rPr>
          <w:rFonts w:ascii="Times New Roman" w:hAnsi="Times New Roman"/>
          <w:color w:val="000000"/>
          <w:sz w:val="20"/>
        </w:rPr>
        <w:t>, Frank Cooper’s</w:t>
      </w:r>
      <w:r>
        <w:rPr>
          <w:rFonts w:ascii="Times New Roman" w:hAnsi="Times New Roman"/>
          <w:color w:val="000000"/>
          <w:sz w:val="13"/>
        </w:rPr>
        <w:t>®</w:t>
      </w:r>
      <w:r>
        <w:rPr>
          <w:rFonts w:ascii="Times New Roman" w:hAnsi="Times New Roman"/>
          <w:color w:val="000000"/>
          <w:sz w:val="20"/>
        </w:rPr>
        <w:t>, Robertson’s</w:t>
      </w:r>
      <w:r>
        <w:rPr>
          <w:rFonts w:ascii="Times New Roman" w:hAnsi="Times New Roman"/>
          <w:color w:val="000000"/>
          <w:sz w:val="13"/>
        </w:rPr>
        <w:t xml:space="preserve">® </w:t>
      </w:r>
      <w:r>
        <w:rPr>
          <w:rFonts w:ascii="Times New Roman" w:hAnsi="Times New Roman"/>
          <w:color w:val="000000"/>
          <w:sz w:val="20"/>
        </w:rPr>
        <w:t>and Clarks;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Grimsby, England, which produces our New Covent Garden Soup Co.</w:t>
      </w:r>
      <w:r>
        <w:rPr>
          <w:rFonts w:ascii="Times New Roman" w:hAnsi="Times New Roman"/>
          <w:color w:val="000000"/>
          <w:sz w:val="13"/>
        </w:rPr>
        <w:t xml:space="preserve">® </w:t>
      </w:r>
      <w:r>
        <w:rPr>
          <w:rFonts w:ascii="Times New Roman" w:hAnsi="Times New Roman"/>
          <w:color w:val="000000"/>
          <w:sz w:val="20"/>
        </w:rPr>
        <w:t>and Yorkshire Provender</w:t>
      </w:r>
      <w:r>
        <w:rPr>
          <w:rFonts w:ascii="Times New Roman" w:hAnsi="Times New Roman"/>
          <w:color w:val="000000"/>
          <w:sz w:val="13"/>
        </w:rPr>
        <w:t>®</w:t>
      </w:r>
      <w:r>
        <w:rPr>
          <w:rFonts w:ascii="Times New Roman" w:hAnsi="Times New Roman"/>
          <w:color w:val="008080"/>
          <w:sz w:val="13"/>
        </w:rPr>
        <w:t xml:space="preserve"> </w:t>
      </w:r>
      <w:r>
        <w:rPr>
          <w:rFonts w:ascii="Times New Roman" w:hAnsi="Times New Roman"/>
          <w:color w:val="000000"/>
          <w:sz w:val="20"/>
        </w:rPr>
        <w:t>chilled soups;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Clitheroe, England, which produces our private label and Farmhouse Fare</w:t>
      </w:r>
      <w:r>
        <w:rPr>
          <w:rFonts w:ascii="Times New Roman" w:hAnsi="Times New Roman"/>
          <w:color w:val="000000"/>
          <w:sz w:val="13"/>
        </w:rPr>
        <w:t xml:space="preserve">TM </w:t>
      </w:r>
      <w:r>
        <w:rPr>
          <w:rFonts w:ascii="Times New Roman" w:hAnsi="Times New Roman"/>
          <w:color w:val="000000"/>
          <w:sz w:val="20"/>
        </w:rPr>
        <w:t>hot-eat desserts;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Fakenham, England, which produces Linda McCartney’s</w:t>
      </w:r>
      <w:r>
        <w:rPr>
          <w:rFonts w:ascii="Times New Roman" w:hAnsi="Times New Roman"/>
          <w:color w:val="000000"/>
          <w:sz w:val="13"/>
        </w:rPr>
        <w:t xml:space="preserve">® </w:t>
      </w:r>
      <w:r>
        <w:rPr>
          <w:rFonts w:ascii="Times New Roman" w:hAnsi="Times New Roman"/>
          <w:color w:val="000000"/>
          <w:sz w:val="20"/>
        </w:rPr>
        <w:t>(under license) meat-free frozen and chilled dishes and meals;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Troisdorf, Germany, which produces Natumi</w:t>
      </w:r>
      <w:r>
        <w:rPr>
          <w:rFonts w:ascii="Times New Roman" w:hAnsi="Times New Roman"/>
          <w:color w:val="000000"/>
          <w:sz w:val="13"/>
        </w:rPr>
        <w:t>®</w:t>
      </w:r>
      <w:r>
        <w:rPr>
          <w:rFonts w:ascii="Times New Roman" w:hAnsi="Times New Roman"/>
          <w:color w:val="000000"/>
          <w:sz w:val="20"/>
        </w:rPr>
        <w:t>, Lima</w:t>
      </w:r>
      <w:r>
        <w:rPr>
          <w:rFonts w:ascii="Times New Roman" w:hAnsi="Times New Roman"/>
          <w:color w:val="000000"/>
          <w:sz w:val="13"/>
        </w:rPr>
        <w:t>®</w:t>
      </w:r>
      <w:r>
        <w:rPr>
          <w:rFonts w:ascii="Times New Roman" w:hAnsi="Times New Roman"/>
          <w:color w:val="000000"/>
          <w:sz w:val="20"/>
        </w:rPr>
        <w:t>, Joya</w:t>
      </w:r>
      <w:r>
        <w:rPr>
          <w:rFonts w:ascii="Times New Roman" w:hAnsi="Times New Roman"/>
          <w:color w:val="000000"/>
          <w:sz w:val="13"/>
        </w:rPr>
        <w:t xml:space="preserve">® </w:t>
      </w:r>
      <w:r>
        <w:rPr>
          <w:rFonts w:ascii="Times New Roman" w:hAnsi="Times New Roman"/>
          <w:color w:val="000000"/>
          <w:sz w:val="20"/>
        </w:rPr>
        <w:t>and other plant-based beverages and private label products;</w:t>
      </w:r>
    </w:p>
    <w:p>
      <w:pPr>
        <w:pStyle w:val="TextBody"/>
        <w:bidi w:val="0"/>
        <w:spacing w:before="0" w:after="0"/>
        <w:jc w:val="both"/>
        <w:rPr>
          <w:color w:val="000000"/>
        </w:rPr>
      </w:pPr>
      <w:r>
        <w:rPr>
          <w:color w:val="000000"/>
        </w:rPr>
        <w:t>•</w:t>
      </w:r>
    </w:p>
    <w:p>
      <w:pPr>
        <w:pStyle w:val="TextBody"/>
        <w:bidi w:val="0"/>
        <w:spacing w:lineRule="auto" w:line="360" w:before="0" w:after="0"/>
        <w:jc w:val="both"/>
        <w:rPr>
          <w:rFonts w:ascii="Times New Roman" w:hAnsi="Times New Roman"/>
          <w:sz w:val="13"/>
        </w:rPr>
      </w:pPr>
      <w:r>
        <w:rPr>
          <w:rFonts w:ascii="Times New Roman" w:hAnsi="Times New Roman"/>
          <w:color w:val="000000"/>
          <w:sz w:val="20"/>
        </w:rPr>
        <w:t>Oberwart, Austria, which produces our Lima</w:t>
      </w:r>
      <w:r>
        <w:rPr>
          <w:rFonts w:ascii="Times New Roman" w:hAnsi="Times New Roman"/>
          <w:color w:val="000000"/>
          <w:sz w:val="13"/>
        </w:rPr>
        <w:t xml:space="preserve">® </w:t>
      </w:r>
      <w:r>
        <w:rPr>
          <w:rFonts w:ascii="Times New Roman" w:hAnsi="Times New Roman"/>
          <w:color w:val="000000"/>
          <w:sz w:val="20"/>
        </w:rPr>
        <w:t>and Joya</w:t>
      </w:r>
      <w:r>
        <w:rPr>
          <w:rFonts w:ascii="Times New Roman" w:hAnsi="Times New Roman"/>
          <w:color w:val="000000"/>
          <w:sz w:val="13"/>
        </w:rPr>
        <w:t xml:space="preserve">® </w:t>
      </w:r>
      <w:r>
        <w:rPr>
          <w:rFonts w:ascii="Times New Roman" w:hAnsi="Times New Roman"/>
          <w:color w:val="000000"/>
          <w:sz w:val="20"/>
        </w:rPr>
        <w:t>plant-based foods and beverages, creamers, cooking creams and private label products; and</w:t>
      </w:r>
    </w:p>
    <w:p>
      <w:pPr>
        <w:pStyle w:val="TextBody"/>
        <w:bidi w:val="0"/>
        <w:spacing w:before="0" w:after="0"/>
        <w:jc w:val="both"/>
        <w:rPr>
          <w:color w:val="000000"/>
        </w:rPr>
      </w:pPr>
      <w:r>
        <w:rPr>
          <w:color w:val="000000"/>
        </w:rPr>
        <w:t>•</w:t>
      </w:r>
    </w:p>
    <w:p>
      <w:pPr>
        <w:pStyle w:val="TextBody"/>
        <w:bidi w:val="0"/>
        <w:spacing w:lineRule="auto" w:line="360"/>
        <w:jc w:val="both"/>
        <w:rPr>
          <w:rFonts w:ascii="Times New Roman" w:hAnsi="Times New Roman"/>
          <w:sz w:val="13"/>
        </w:rPr>
      </w:pPr>
      <w:r>
        <w:rPr>
          <w:rFonts w:ascii="Times New Roman" w:hAnsi="Times New Roman"/>
          <w:color w:val="000000"/>
          <w:sz w:val="20"/>
        </w:rPr>
        <w:t>Schwerin, Germany, which also produces our Lima</w:t>
      </w:r>
      <w:r>
        <w:rPr>
          <w:rFonts w:ascii="Times New Roman" w:hAnsi="Times New Roman"/>
          <w:color w:val="000000"/>
          <w:sz w:val="13"/>
        </w:rPr>
        <w:t xml:space="preserve">® </w:t>
      </w:r>
      <w:r>
        <w:rPr>
          <w:rFonts w:ascii="Times New Roman" w:hAnsi="Times New Roman"/>
          <w:color w:val="000000"/>
          <w:sz w:val="20"/>
        </w:rPr>
        <w:t>and Joya</w:t>
      </w:r>
      <w:r>
        <w:rPr>
          <w:rFonts w:ascii="Times New Roman" w:hAnsi="Times New Roman"/>
          <w:color w:val="000000"/>
          <w:sz w:val="13"/>
        </w:rPr>
        <w:t xml:space="preserve">® </w:t>
      </w:r>
      <w:r>
        <w:rPr>
          <w:rFonts w:ascii="Times New Roman" w:hAnsi="Times New Roman"/>
          <w:color w:val="000000"/>
          <w:sz w:val="20"/>
        </w:rPr>
        <w:t>plant-based foods and beverages and private label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“Item 2. Properties” of this Form 10-K for more information on the manufacturing facilities that we operate.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Contract Manufacturers</w:t>
      </w:r>
    </w:p>
    <w:p>
      <w:pPr>
        <w:pStyle w:val="TextBody"/>
        <w:bidi w:val="0"/>
        <w:spacing w:before="200" w:after="283"/>
        <w:jc w:val="both"/>
        <w:rPr>
          <w:rFonts w:ascii="Times New Roman" w:hAnsi="Times New Roman"/>
          <w:sz w:val="20"/>
        </w:rPr>
      </w:pPr>
      <w:r>
        <w:rPr>
          <w:rFonts w:ascii="Times New Roman" w:hAnsi="Times New Roman"/>
          <w:color w:val="000000"/>
          <w:sz w:val="20"/>
        </w:rPr>
        <w:t>In addition to the products manufactured in our own facilities, independent third-party contract manufacturers, who are referred to in our industry as co-manufacturers or co-packers, manufacture many of our products. In general, utilizing co-packers provides us with the flexibility to produce a large variety of products quickly and economically. Our contract manufacturers have been selected based on their production capabilities, capitalization and specific product category expertise, and we expect to continue to partner with them to improve and expand our product offerings. During fiscal 2026 and 2025, approximately 47% and 36%, respectively, of our sales were derived from products manufactured by co-packers. We require that our co-packers comply with all</w:t>
      </w:r>
      <w:r>
        <w:rPr>
          <w:rFonts w:ascii="Times New Roman" w:hAnsi="Times New Roman"/>
          <w:color w:val="FF0000"/>
          <w:sz w:val="20"/>
        </w:rPr>
        <w:t xml:space="preserve"> </w:t>
      </w:r>
      <w:r>
        <w:rPr>
          <w:rFonts w:ascii="Times New Roman" w:hAnsi="Times New Roman"/>
          <w:color w:val="000000"/>
          <w:sz w:val="20"/>
        </w:rPr>
        <w:t>applicable regulations and our quality and food safety program requirements, and compliance is verified through auditing and other activities. Additionally, the co-packers are required to ensure our products are manufactured in accordance with our finished goods specifications to ensure we meet customer expectations.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Suppliers of Ingredients and Packaging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Agricultural commodities and ingredients, including tea and herbs, dairy products, vegetables, fruits, oils, grains, nuts and spices, are the principal inputs used in our food and beverage products. Our primary packaging supplies are cartons, paper, paperboard, jars, pouches and printed film. We strive to maintain a global supplier base that provides innovative ideas and sustainable packaging alternatives.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raw materials and packaging materials are obtained from various suppliers around the world. The Company works with its suppliers to ensure the quality and safety of their ingredients and that such ingredients meet our specifications and comply with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applicable regulations. These assurances are supported by our purchasing contracts, supplier expectations manual, supplier code of conduct, supplier scorecards and technical assessments, including questionnaires, scientific data, certifications, affidavits, certificates of analysis and analytical testing, where required. Our purchasers and quality team visit major suppliers around the world to procure competitively priced, quality ingredients that meet our specifications.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long-term relationships with many of our suppliers. Purchases are made through purchase orders or contracts, and price, delivery terms and product specifications vary.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Agricultural commodities and ingredients are subject to price volatility which can be caused by a variety of factors. We attempt to mitigate the input price volatility with a combination of price increases to our customers, purchasing strategies, cost savings initiatives and operating efficiencies.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operate in a highly competitive environment. Our products compete with both large conventional packaged goods companies and natural and organic packaged foods companies. Many of these competitors enjoy significantly greater resources. In addition to these competitors, in each of our categories we compete with many regional and small, local niche brands. Given limited retailer shelf space and merchandising events, competitors actively support their respective brands with marketing, advertising and promotional spending. In addition, most retailers market similar items under their own private label, which compete for the same shelf space.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Competitive factors in the packaged foods industry include product quality and taste, brand awareness and loyalty, price, product variety, interesting or unique product names, product packaging and package design, shelf space, reputation, advertising, promotion and nutritional claims.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Trademarks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brand awareness is a significant component in a consumer’s decision to purchase one product over another in the highly competitive consumer packaged goods industry. We generally register our trademarks and brand names in the U.S., Canada, the European Union, the United Kingdom (“U.K.”) and/or other foreign countries depending on the area of distribution of the applicable products. We intend to keep these filings current and seek protection for new trademarks to the extent consistent with business needs. We monitor trademark registers worldwide and take action to enforce our rights as we deem appropriate. We believe that our trademarks are significant to the marketing and sale of our products and that the inability to utilize certain of these names and marks, and/or the inability to prevent third parties from using similar names or marks, could have a material adverse effect on our business.</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Our International segment also markets products under brand names licensed under trademark license arrangements, including Linda McCartney’s</w:t>
      </w:r>
      <w:r>
        <w:rPr>
          <w:rFonts w:ascii="Times New Roman" w:hAnsi="Times New Roman"/>
          <w:color w:val="000000"/>
          <w:sz w:val="13"/>
        </w:rPr>
        <w:t xml:space="preserve">® </w:t>
      </w:r>
      <w:r>
        <w:rPr>
          <w:rFonts w:ascii="Times New Roman" w:hAnsi="Times New Roman"/>
          <w:color w:val="000000"/>
          <w:sz w:val="20"/>
        </w:rPr>
        <w:t>and Rose’s</w:t>
      </w:r>
      <w:r>
        <w:rPr>
          <w:rFonts w:ascii="Times New Roman" w:hAnsi="Times New Roman"/>
          <w:color w:val="000000"/>
          <w:sz w:val="13"/>
        </w:rPr>
        <w:t>®</w:t>
      </w:r>
      <w:r>
        <w:rPr>
          <w:rFonts w:ascii="Times New Roman" w:hAnsi="Times New Roman"/>
          <w:color w:val="000000"/>
          <w:sz w:val="20"/>
        </w:rPr>
        <w: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extensive regulations in the U.S. by federal, state and local government authorities. In the U.S., the federal agencies governing the manufacture, marketing and distribution of our products include, among others, the Federal Trade Commission (“FTC”), the United States Food &amp; Drug Administration (“FDA”), the United States Department of Agriculture (“USDA”), the United States Environmental Protection Agency (“EPA”) and the Occupational Safety and Health Administration (“OSHA”). Under various statutes, these agencies prescribe and establish, among other things, the requirements and standards for quality, safety and representation of our products to the consumer in labeling and advertising.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Internationally, we are subject to the laws and regulatory authorities of the foreign jurisdictions in which we manufacture and sell our products, including the Canadian Food Inspection Agency, Health Canada, Food Standards Agency in the United Kingdom, and the European Food Safety Authority.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Quality Control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utilize a comprehensive product safety and quality management program, which employs strict manufacturing procedures, expert technical knowledge on food safety science, employee training, ongoing process innovation, use of quality ingredients and both internal and independent auditing. In the U.S., our Company-owned food manufacturing facility has a Food Safety Plan (“FSP”), which focuses on preventing food safety risks and is compliant with the requirements set forth under the Food Safety Modernization Act (“FSMA”). In addition, we have individuals on the Quality team that have Preventive Controls Qualified Individual (“PCQI”) and Foreign Supplier Verification Training; each training follows a standardized curriculum recognized by the FDA.</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 audits of our contract manufacturers to address topics such as allergen control; ingredient, packaging and product specifications; and sanitation. Under the FSMA, each of our contract manufacturers is required to have a FSP, a Hazard Analysis Critical Control Plant (“HACCP”) plan or a hazard analysis critical control points plan that identifies critical pathways for contaminants and mandates control measures to be in place to mitigate food-borne hazards.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our product lines have seasonal fluctuations. For example, hot tea and soup sales are stronger in colder months. As such, our results of operations and our cash flows for any particular quarter are not indicative of the results we expect for the full year, and our historical seasonality may not be indicative of future quarterly results of operations. Historically, net sales and profitability in the first fiscal quarter have typically been the lowest of our four quarters.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Human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approximately 1,800 employees, with 26% located in North America and 74% located outside of North America. Substantially all of our employees are full-time, permanent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and its committees provide oversight of our policies and strategies related to talent management and culture, including employee engagement, workplace health and safety, and communication programs. Our employees are critical to our success. The following programs, initiatives and principles encompass some of the human capital objectives and measures that we focus on in managing our business and in seeking to attract and retain a talented workforce.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Our Purpose, Mission and Values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are guided by our Purpose, Mission and Values.</w:t>
      </w:r>
    </w:p>
    <w:tbl>
      <w:tblPr>
        <w:tblW w:w="10205" w:type="dxa"/>
        <w:jc w:val="left"/>
        <w:tblInd w:w="0" w:type="dxa"/>
        <w:tblLayout w:type="fixed"/>
        <w:tblCellMar>
          <w:top w:w="28" w:type="dxa"/>
          <w:left w:w="28" w:type="dxa"/>
          <w:bottom w:w="28" w:type="dxa"/>
          <w:right w:w="28" w:type="dxa"/>
        </w:tblCellMar>
      </w:tblPr>
      <w:tblGrid>
        <w:gridCol w:w="1211"/>
        <w:gridCol w:w="8994"/>
      </w:tblGrid>
      <w:tr>
        <w:trPr/>
        <w:tc>
          <w:tcPr>
            <w:tcW w:w="1211" w:type="dxa"/>
            <w:tcBorders/>
            <w:vAlign w:val="center"/>
          </w:tcPr>
          <w:p>
            <w:pPr>
              <w:pStyle w:val="TableContents"/>
              <w:bidi w:val="0"/>
              <w:spacing w:before="0" w:after="283"/>
              <w:jc w:val="left"/>
              <w:rPr>
                <w:sz w:val="4"/>
                <w:szCs w:val="4"/>
              </w:rPr>
            </w:pPr>
            <w:r>
              <w:rPr>
                <w:sz w:val="4"/>
                <w:szCs w:val="4"/>
              </w:rPr>
            </w:r>
          </w:p>
        </w:tc>
        <w:tc>
          <w:tcPr>
            <w:tcW w:w="8994"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color w:val="000000"/>
                <w:sz w:val="20"/>
              </w:rPr>
            </w:pPr>
            <w:r>
              <w:rPr>
                <w:rFonts w:ascii="Times New Roman" w:hAnsi="Times New Roman"/>
                <w:b/>
                <w:color w:val="000000"/>
                <w:sz w:val="20"/>
              </w:rPr>
              <w:t>Purpose:</w:t>
            </w:r>
          </w:p>
        </w:tc>
        <w:tc>
          <w:tcPr>
            <w:tcW w:w="8994"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0"/>
              </w:rPr>
            </w:pPr>
            <w:r>
              <w:rPr>
                <w:rFonts w:ascii="Times New Roman" w:hAnsi="Times New Roman"/>
                <w:color w:val="000000"/>
                <w:sz w:val="20"/>
              </w:rPr>
              <w:t>To inspire healthier living for people, communities and the planet through better-for-you brands</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color w:val="000000"/>
                <w:sz w:val="20"/>
              </w:rPr>
            </w:pPr>
            <w:r>
              <w:rPr>
                <w:rFonts w:ascii="Times New Roman" w:hAnsi="Times New Roman"/>
                <w:b/>
                <w:color w:val="000000"/>
                <w:sz w:val="20"/>
              </w:rPr>
              <w:t>Mission:</w:t>
            </w:r>
          </w:p>
        </w:tc>
        <w:tc>
          <w:tcPr>
            <w:tcW w:w="8994"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0"/>
              </w:rPr>
            </w:pPr>
            <w:r>
              <w:rPr>
                <w:rFonts w:ascii="Times New Roman" w:hAnsi="Times New Roman"/>
                <w:color w:val="000000"/>
                <w:sz w:val="20"/>
              </w:rPr>
              <w:t>To build purpose-driven brands that make healthier living more attainable by empowering our people, engaging our partners, and living our values</w:t>
            </w:r>
          </w:p>
        </w:tc>
      </w:tr>
      <w:tr>
        <w:trPr/>
        <w:tc>
          <w:tcPr>
            <w:tcW w:w="1211"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b/>
                <w:color w:val="000000"/>
                <w:sz w:val="20"/>
              </w:rPr>
            </w:pPr>
            <w:r>
              <w:rPr>
                <w:rFonts w:ascii="Times New Roman" w:hAnsi="Times New Roman"/>
                <w:b/>
                <w:color w:val="000000"/>
                <w:sz w:val="20"/>
              </w:rPr>
              <w:t>Values:</w:t>
            </w:r>
          </w:p>
        </w:tc>
        <w:tc>
          <w:tcPr>
            <w:tcW w:w="89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Be curious, (2) Foster inclusion, (3) Own it and (4) Win together</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Employee Health and Safety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Employee safety is always front and center. We invest in the health, safety, development and well-being of our employees. In an effort to ensure workplace safety, we train employees on how to follow our detailed, written safety standards and procedures, and the law, and to watch for and report anything potentially harmful. Our safety key performance indicators are reviewed weekly, monthly and annually to ensure quick feedback and to address safety issues as soon as they arise.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Learning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offer a number of programs that help our employees progress in their careers. These programs include access to online learning and development tools as well as many additional local initiatives across our global locations to support employees on their career paths and develop leadership qualities and career skills in our global workforce.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employee benefits vary by region but generally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Medical, Dental, and Vision Benefits;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Retirement Savings Plans;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Commuter Benefits;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Wellness Initiatives;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Tuition Reimbursement;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Paid Parental Leave including births, adoptions or placements of foster children.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Impact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a leading global health and wellness company whose purpose is to inspire healthier living for people, communities, and the planet through better-for-you brands. Our Impact strategy focuses on our commitment to environmentally sound business practices, creating and selling better-for-you products, stakeholder and community impact initiatives and sustainable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manufacturing processes. More details about our Impact strategy and goals, including our most recent Impact Report, are available at </w:t>
      </w:r>
      <w:r>
        <w:rPr>
          <w:rFonts w:ascii="Times New Roman" w:hAnsi="Times New Roman"/>
          <w:i/>
          <w:color w:val="000000"/>
          <w:sz w:val="20"/>
        </w:rPr>
        <w:t>hain.com/company/impact</w:t>
      </w:r>
      <w:r>
        <w:rPr>
          <w:rFonts w:ascii="Times New Roman" w:hAnsi="Times New Roman"/>
          <w:color w:val="000000"/>
          <w:sz w:val="20"/>
        </w:rPr>
        <w: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Impact Reports and the other information available at </w:t>
      </w:r>
      <w:r>
        <w:rPr>
          <w:rFonts w:ascii="Times New Roman" w:hAnsi="Times New Roman"/>
          <w:i/>
          <w:color w:val="000000"/>
          <w:sz w:val="20"/>
        </w:rPr>
        <w:t>hain.com/company/impact</w:t>
      </w:r>
      <w:r>
        <w:rPr>
          <w:rFonts w:ascii="Times New Roman" w:hAnsi="Times New Roman"/>
          <w:color w:val="000000"/>
          <w:sz w:val="20"/>
        </w:rPr>
        <w:t xml:space="preserve"> are not, and shall not be deemed to be, a part of this Form 10-K or incorporated into any of our other filings made with the Securities and Exchange Commission (the “SEC”).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Company Website and Available Information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following information can be found, free of charge, in the “Investor Relations” section of our corporate website at </w:t>
      </w:r>
      <w:r>
        <w:rPr>
          <w:rFonts w:ascii="Times New Roman" w:hAnsi="Times New Roman"/>
          <w:i/>
          <w:color w:val="000000"/>
          <w:sz w:val="20"/>
        </w:rPr>
        <w:t>ir.hain.com</w:t>
      </w:r>
      <w:r>
        <w:rPr>
          <w:rFonts w:ascii="Times New Roman" w:hAnsi="Times New Roman"/>
          <w:color w:val="000000"/>
          <w:sz w:val="20"/>
        </w:rPr>
        <w: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annual report on Form 10-K, quarterly reports on Form 10-Q, current reports on Form 8-K, and all amendments to those reports as soon as reasonably practicable after such material is electronically filed with or furnished to the SEC;</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policies related to corporate governance, including our Code of Conduct applying to our directors, officers and employees (including our principal executive officer, principal financial officer and principal accounting officer) that we have adopted to meet the requirements set forth in the rules and regulations of the SEC and The Nasdaq Stock Market LLC;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the charters of the Audit, Compensation, Nominating and Governance and Strategy Committees of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Company ever were to amend or waive any provision of its Code of Ethics that applies to the Company’s principal executive officer, principal financial officer, principal accounting officer or any person performing similar functions, the Company intends to satisfy its disclosure obligations, if any, with respect to any such waiver or amendment by posting such information on its website set forth above rather than by filing a Current Report on Form 8-K.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may use its website as a distribution channel of material Company information. Financial and other important information regarding the Company is routinely posted on and accessible through the Company’s investor relations website at </w:t>
      </w:r>
      <w:r>
        <w:rPr>
          <w:rFonts w:ascii="Times New Roman" w:hAnsi="Times New Roman"/>
          <w:i/>
          <w:color w:val="000000"/>
          <w:sz w:val="20"/>
        </w:rPr>
        <w:t>ir.hain.com</w:t>
      </w:r>
      <w:r>
        <w:rPr>
          <w:rFonts w:ascii="Times New Roman" w:hAnsi="Times New Roman"/>
          <w:color w:val="000000"/>
          <w:sz w:val="20"/>
        </w:rPr>
        <w:t>. In addition, you may automatically receive email alerts and other information about the Company when you enroll your email address by visiting “E-mail Alerts” under the “IR Resources” section of our investor relations website. Information on the Company’s website is not incorporated by reference herein and is not a part of this Form 10-K.</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5" w:name="item_1a_risk_factors"/>
      <w:bookmarkEnd w:id="5"/>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Our business, operations and financial condition are subject to various risks and uncertainties. While we believe we have identified and discussed below the key risk factors affecting our business, there may be additional risks and uncertainties not presently known to us or that we currently consider immaterial. If any of the following risks and uncertainties develop into actual events, our business, financial condition or results of operations could be materially adversely affected. In such case, the trading price of our common stock could decline, and you may lose all or part of your investment. You should not interpret the disclosure of any risk factor to imply that the risk has not already materialized. These risk factors should be read in conjunction with the other information in this Annual Report on Form 10-K and in the other documents that we file from time to time with the SEC.</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Our Indebtedness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Any default under our credit agreement or inability to refinance our indebtedness could have significant consequences.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credit agreement matures in December 2026. In the notes to our unaudited consolidated financial statements included with our Quarterly Report on Form 10-Q for the fiscal quarter ended December 31, 2025 and in our subsequent reports filed with the SEC, the Company previously disclosed that Company management has been in active engagement with its lenders and other third parties to assess opportunities to refinance the Company’s debt, extend the maturity under the credit agreement and evaluate potential capital raising or other strategic transactions. As of the date of this Form 10-K, the Company continues to engage in such discussions, but there can be no assurance that we will be able to extend the maturity of the credit agreement or complete a refinancing on terms acceptable to us, or at all. If we are unable to successfully extend the maturity or refinance the credit agreement, we do not currently expect to have the ability to repay the principal amount of our credit agreement in full upon maturity, which could result in the lenders thereto having a claim against us for the unpaid principal amount, together with accrued and unpaid interest. Additionally, because our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 the lenders have a senior claim to a material portion of our assets, subject to certain exceptions, which could be conveyed to the lenders or sold to satisfy our obligations under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Further, our credit agreement contains covenants imposing certain restrictions on our business. These restrictions may affect our ability to operate our business and may limit our ability to take advantage of potential business opportunities as they arise. The credit agreement requires us to satisfy certain financial covenants, such as maintaining a maximum consolidated secured leverage ratio, a minimum consolidated interest coverage ratio and, in certain periods, minimum levels of consolidated EBITDA as defined in the credit agreement. The credit agreement also contains restrictive covenants including, with specified exceptions, limitations on our ability to engage in certain business activities, incur debt and liens, pay dividends or make other distributions, enter into affiliate transactions, consolidate, merge or acquire or dispose of assets, and make certain investments, acquisitions and loans.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comply with these covenants under the credit agreement may be affected by events beyond our control, including prevailing economic, financial and industry conditions. The breach of any of these covenants could result in a default, which would permit the lenders to declare all outstanding debt to be due and payable, together with accrued and unpaid interest. Any default by us under the credit agreement, including our failure to repay in full the credit agreement at or prior to maturity, could have a material adverse effect on our business and financial condition, including being forced to seek relief under federal bankruptcy laws or to pursue a restructuring, wind-down, or liquidation, and holders of our common stock could experience a significant or complete loss of their investment.</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Our Business, Operations and Industry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are unable to successfully execute our business strategy, or if our strategy proves to be ineffective, our business, operating results and financial condition may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fourth quarter of fiscal year 2025, we announced the launch of a formal process to review our portfolio to maximize shareholder value. Thereafter, in the third quarter of fiscal year 2026, we sold our North American Snacks business, and in September 2026, we announced the pending sale of our International Business. Our ability to continue to execute on our strategy is dependent on a number of factors, including the ability of our management to manage our business and our workforce during a period of uncertainty, our ability to innovate in the remaining areas of our business to meet changing consumer demand, our ability to effectively manage our supply chain and pricing, the ability of our employees to perform at a high level, and operational and organizational impacts resulting from the downsizing of our business. If we are unable to execute our strategy, or if the public perceives that we are not executing on our strategy, it could adversely affect our business, financial performance, and growth.</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these and other initiatives that align with our strategic objectives depends upon our ability to identify suitable transaction counterparties and successfully negotiate contract terms, among other factors. These initiatives may present operational risks, including diversion of management’s attention from other matters or difficulties separating businesses from our operations. If we are not successful in executing desired strategic transactions, our business, operating results and financial condition could be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divestiture of our International Business is subject to closing conditions and has not been completed; even if the divestiture is completed, it will lead to challenges and uncertainty for our remaining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previously disclosed, in September 2026, we executed a definitive agreement to sell our International Business. Consummation of the transaction is subject to the following closing conditions: (1) customary regulatory consents, approvals or non-objections from regulatory authorities in the United Kingdom, Austria, Ireland, Germany and Belgium, and (2) by October 12, 2026, the Company and its lenders entering into an amendment of the Company’s credit agreement, which currently has a maturity date of December 22, 2026, to extend such maturity date by not less than nine months. Subject to the satisfaction of those closing conditions, the transaction is currently expected to close in the Company’s fiscal second quarter ending December 31, 2026. However, if the credit agreement amendment is not entered into by October 12, 2026, the purchaser may terminate the agreement and the sale of the International Business would not be completed. There can be no assurance that a credit agreement amendment will be obtained.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to face challenges and uncertainty in managing our remaining business while the sale is pending and following the sale if completed. As noted above, Company management has been in active engagement with its lenders and other third parties to assess opportunities to refinance the Company’s debt, extend the maturity under the Company’s credit agreement and evaluate potential capital raising or other strategic transactions. Management will need to focus simultaneously on managing our remaining business, addressing our indebtedness, and completing the sale of the International Business. We may face challenges in attracting, retaining and motivating key management and other employees, retaining existing business and operational relationships (including with customers, suppliers, employees and other counterparties) and attracting new business, and we may face potential negative reactions from the financial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result of this uncertainty, the price of our common stock may experience further volatility, which could cause certain investors to sell their shares, which could in turn lead to additional declines in the trading price of our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markets are highly 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operate in highly competitive geographic and product markets. Numerous brands and products compete for limited retailer shelf space, where competition is based on product quality, brand recognition, brand loyalty, price, product innovation and variety, packaging, convenience, promotional activity, availability, taste and health or functional attributes among other things. Retailers also market competitive products under their own private labels, which are generally sold at lower prices and compete with some of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Some of our markets are dominated by multinational corporations with greater resources and more substantial operations than us. We may not be able to successfully compete for sales to distributors or retailers that purchase from larger competitors that have greater financial, managerial, sales, technical and operational resources. Larger food companies may be able to use their resources and scale to respond to competitive pressures and changes in consumer preferences by introducing new products or reformulating their existing products, reducing prices or increasing promotional activities. We also compete with other organic and natural packaged food brands and companies, which may be more innovative and able to bring new products to market faster and may be better able to quickly exploit and serve niche markets. As a result of this competition, retailers may take actions that negatively affect us. Consequently, we may need to increase our marketing, advertising and promotional spending to protect our existing market share. Furthermore, we may experience price pressure due to competitors’ promotional activity and pricing, which may be particularly strong during adverse economic periods and periods of high inflation. Increased competition could have an adverse impact on our sales, margins, profitability and market share.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growth and continued success depend upon consumer preferences for our products, which could change.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business is primarily focused on sales of better-for-you products and could be harmed if consumer demand for such categories were to decrease. During an economic downturn or inflationary environment, factors such as increased unemployment, decreases in disposable income and declines in consumer confidence could cause a decrease in demand for our overall product set, particularly higher priced better-for-you products, or consumers may stop buying the categories of products that we sell entirely. Moreover, consumer preferences continuously evolve due to a variety of factors, including changes in demographics, consumption patterns and diet trends (including as a result of the use of weight loss drugs), channel preferences, pricing, product quality, packaging and perceptions of certain ingredients, among others. While we continue to diversify our product offerings for our remaining brands, developing new products entails risks, and demand for our products may not continue at current levels or increase in the future. The success of our innovation and product improvement effort depends on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anticipate changes in consumers’ preferences, the availability of funding, the technical capability of our research and development staff in developing, formulating and testing product prototypes, including complying with governmental regulations, the success of management’s go-to-market strategy and competitor responses such as increased promotional activity or advertising.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consumption has continued to shift toward the e-commerce channel. Some products we sell via the e-commerce channel have lower margins than those sold in traditional brick and mortar retailers and present unique challenges in order fulfillment. The growth in e-commerce has also encouraged the entry of new competitors and business models, intensifying competition by simplifying distribution and lowering barriers to entry. If we are unsuccessful in implementing product improvements or introducing new products that satisfy the demands of consumers, our business could be harmed.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do not manage our supply chain effectively or if there are disruptions in our supply chain, our business and results of operations may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success of our business depends, in part, on maintaining a strong sourcing and manufacturing platform and efficient distribution channels. Our ability to ensure a continuing supply of natural, organic and specialty ingredients used in certain of our products at competitive prices depends on many factors beyond our control, such as the number and size of farms that grow natural and organic crops, the number of producers of specialty ingredients, climate conditions, high demand for certain ingredients by our competitors, global unrest, changes in national and global economic conditions, currency fluctuations and tariffs. Certain ingredients that we use in the production of our products (including, among others, vegetables, fruits, nuts and grains) are vulnerable to adverse weather conditions and natural disasters, such as floods, droughts, water scarcity, temperature extremes, wildfires, frosts, earthquakes and pestilences. Natural disasters and adverse weather conditions can lower crop yields and reduce crop size and crop quality, which in turn could reduce our supplies of ingredients or increase the prices of ingredients. If our supplies of ingredients are reduced, we may not be able to find enough supplemental supply sources on favorable terms, if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the inability or failure of any independent contract manufacturer or third-party distributor to deliver or perform for us in a timely or cost-effective manner could cause our operating costs to increase and our profit margins to decrease, especially as it relates to our products that have a short shelf life. If we do not continuously monitor our inventory and product mix against forecasted demand, we risk having inadequate supplies to meet consumer demand or alternatively having too much inventory on hand that may reach its expiration date and become unsaleable. 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must also manage our third-party distribution, warehouse and transportation providers to ensure they are able to support the efficient distribution of our products to retailers. A disruption in transportation services could result in an inability to supply materials to our or our co-manufacturers’ facilities or finished products to our distribution centers or customers. Activity at third-party distribution centers could be disrupted by a number of factors, including labor issues, quality control issues, failure to meet customer standards, natural disasters or financial issues affecting the third-party providers.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are unable to manage our supply chain efficiently and ensure that our products are available to meet consumer demand and customer orders, our sales and profitability could be materially adversely impacted.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future results of operations may be adversely affected by input cost inflation, including as a result of tariffs.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Many aspects of our business have been, and may continue to be, directly affected by volatile commodity costs and other inflationary pressures, including U.S. government tariffs and the imposition of any counter-tariffs. Agricultural commodities and ingredients are subject to price volatility that can be caused by commodity market fluctuations, crop yields, seasonal cycles, weather conditions, temperature extremes and natural disasters, pest and disease problems, changes in currency exchange rates, imbalances between supply and demand, and government programs and policies, including tariffs, among other factors. Volatile fuel costs (including as a result of armed conflict in the Middle East) and other factors translate into unpredictable costs for the products and services we receive from our third-party providers including, but not limited to, freight and other distribution costs for our products and packaging costs. Moreover, the cost of distribution has generally increased in recent years due to an increase in transportation and logistics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seek to offset increased input costs with a combination of price increases to our customers, purchasing strategies, cost savings initiatives and operating efficiencies, we may be unable to fully offset our increased costs or unable to do so in a timely manner. Increases in pricing resulting from input cost inflation may impact our volume of products sold and could adversely affect our financial results.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independent contract manufacturers to manufacture certain of our products, and the loss of or disruption in our relationship with one or more of these parties could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significant percentage of our sales are derived from products manufactured by independent contract manufacturers, or co-manufacturers. In some cases, an individual co-manufacturer may produce all of our requirements for a particular brand. We believe there are a limited number of competent, high-quality co-manufacturers in the industry, and many of our co-manufacturers produce products for other companies as well. Therefore, if we lose or need to change one or more co-manufacturers, fail to retain co-manufacturers for newly acquired or developed products or brands, or if our relationship with one or more of our co-manufacturers is disrupted, production of our products may be delayed or postponed and/or the availability of some of our products may be reduced or eliminated, which could have a material adverse effect on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Disruption or loss of operations at one or more of our manufacturing facilities could harm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Historically, a majority of our sales have been derived from products manufactured at our own manufacturing facilities. A disruption of or the loss of operations at one or more of these facilities, which may be caused by disease outbreaks or pandemics, labor issues, natural disasters, governmental actions or other events beyond our control, could delay or postpone production of our products, which could have a material adverse effect on our business, results of operations and financial condition. Labor market shortages have impacted, and may continue to impact, operations at our manufacturing facilities.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significant percentage of our sales is concentrated among a small number of customers, and consolidation of customers or the loss of a significant customer could negatively impact our sales and profitability.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growth and continued success depend upon, among other things, our ability to maintain and increase sales volumes with existing customers, our ability to attract new customers, the financial condition of our customers and our ability to provide products that appeal to customers at the right price. A significant percentage of our sales is concentrated among a small number of customers. With the growing trend toward retail trade consolidation, the growing presence of large-format retailers, discounters and e-commerce retailers, shrinking retail footprints and store closures and the integration of traditional and digital operations at key retailers, we are increasingly dependent on certain retailers that may have greater bargaining strength than we do. Retailers may use their leverage to demand higher trade discounts, allowances, slotting fees or increased investment, which could result in reduced sales or profitability in certain markets. Our customers are generally not contractually obligated to purchase from us and their decision to purchase from us is driven by multiple factors, including consumer preferences and demand, price, product quality, customer service performance, availability and other factors. The loss of any large customer, a reduction of purchasing levels or the cancellation of any business from a large customer for an extended length of time could negatively impact our sales and profitability.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independent distributors for a substantial portion of our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United States and other markets, we rely upon sales made by or through non-affiliated distributors to customers. Distributors purchase directly for their own account for resale. The loss of, or business disruption at, one or more of these distributors may harm our business. If we are required to obtain additional or alternative distribution agreements or arrangements in the future, we cannot be certain that we will be able to do so on satisfactory terms or in a timely manner. Our inability to enter into satisfactory distribution agreements may inhibit our ability to implement our business plan or to establish markets necessary to successfully expand the distribution of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subject to risks associated with our international sales and operations, including tariffs, foreign currency and compliance and other trade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fiscal years ended June 30, 2026 and 2025, approximately 53% and 50%, respectively, of our consolidated net sales were generated outside the United States. Until the pending sale of our International Business is completed, sales from outside our U.S. markets may continue to represent a significant portion of our consolidated sales in the future. Our non-U.S. sales and operations are subject to risks inherent in conducting business abroad, many of which are outside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tariffs, quotas, trade barriers or sanctions, other trade protection measures and import or export licensing requirements imposed by governments that might negatively affect our sales, including, but not limited to, Canadian and European Union tariffs imposed on certain U.S. food and beverages;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difficulties in managing a global enterprise, including differing labor standards and design and implementation of effective control environment processes across our diverse operations and employee base;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difficulties associated with operating under a wide variety of complex foreign laws, treaties and regulations, including compliance with food safety regulations, marketing and labeling laws and regulations, antitrust and competition laws, anti-modern slavery laws, anti-bribery and anti-corruption laws, data privacy laws, including the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European Union General Data Protection Regulation (“GDPR”), tax laws and regulations and a variety of other local, national and multi-national regulations and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currency exchange rate fluctuations;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varying abilities to enforce intellectual property and contractual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periodic economic downturns and the instability of governments, including default or deterioration in the creditworthiness of local governments, geopolitical regional conflicts, terrorist activity, political unrest, civil strife, acts of war, public corruption, instability in the financial services sector, expropriation and other economic or political uncertainties;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compliance with U.S. laws affecting operations outside of the United States, such as the U.S. Foreign Corrupt Practices Act and the Office of Foreign Assets Control trade sanction regulations and anti-boycott regulations;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greater risk of uncollectible accounts and longer collection cycles.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outsourced certain functions to third-party service providers, and any service failures or disruptions related to these outsourcing arrangements could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outsourced certain business processes in the areas of supply chain, accounting and information technology to managed service providers, globally. Failure by these third parties to meet their contractual, regulatory and other obligations to us, or our failure to adequately monitor their performance, could result in our inability to achieve the expected cost savings or efficiencies and could result in additional costs to correct errors made by such service providers. Moreover, we have diminished control over the quality and timeliness of the outsourced services, including the cybersecurity protections implemented by these third parties. As a result of these outsourcing arrangements, we may experience interruptions or delays in our processes, loss or theft of sensitive data or other cybersecurity issues, compliance issues, challenges in maintaining and reporting financial and operational information, and increased costs to remediate any unanticipated issues that arise, any of which could materially and adversely affect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Geopolitical conflicts could continue to cause challenges and create risks for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financial conditions and results of operations have been impacted in the past and may be impacted in the future by disruptions in the global economy. Although we have no material assets in Russia, Belarus, Ukraine, Israel, Iran, China or Taiwan, our supply chain has been, and may continue to be, adversely impacted by the Russia-Ukraine war and conflicts in the Middle East and between China and Taiwan. In particular, these conflicts have added significant costs to existing inflationary pressures through increased fuel and raw material prices and labor costs. Further, beyond increased costs, labor challenges and other factors have led to supply chain disruptions. While, to date, we have been able to identify replacement raw materials where necessary, we have incurred increased costs in doing so. Geopolitical conflicts may also result in an increased risk of cybersecurity incidents or disruptions to information systems. Although we are continuing to monitor and manage the impacts of these conflicts on our business, such conflicts and the related economic impacts could continue to have a material adverse effect on our business and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independent certifications for a number of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supervision organization. The loss of any independent certifications could adversely affect our market position as an organic and natural products company, which could harm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able to attract and retain the highly skilled people we need to support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depend on the skills and continued service of key personnel. In addition, our ability to achieve our strategic and operating goals depends on our ability to identify, hire, train and retain qualified individuals. As we continue to progress through our strategic review and its related divestitures and challenges, and as the market price of our common stock remains depressed, it has become more difficult for us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 </w:t>
      </w:r>
    </w:p>
    <w:p>
      <w:pPr>
        <w:pStyle w:val="TextBody"/>
        <w:bidi w:val="0"/>
        <w:spacing w:before="200" w:after="283"/>
        <w:jc w:val="left"/>
        <w:rPr>
          <w:rFonts w:ascii="Times New Roman" w:hAnsi="Times New Roman"/>
          <w:sz w:val="20"/>
        </w:rPr>
      </w:pPr>
      <w:r>
        <w:rPr>
          <w:rFonts w:ascii="Times New Roman" w:hAnsi="Times New Roman"/>
          <w:b/>
          <w:i/>
          <w:color w:val="000000"/>
          <w:sz w:val="20"/>
        </w:rPr>
        <w:t>We face risks related to tax matters, including changes in tax rates, disagreements with taxing authorities and imposition of new taxes</w:t>
      </w:r>
      <w:r>
        <w:rPr>
          <w:rFonts w:ascii="Times New Roman" w:hAnsi="Times New Roman"/>
          <w:i/>
          <w:color w:val="000000"/>
          <w:sz w:val="20"/>
        </w:rPr>
        <w: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taxes in the U.S. and foreign jurisdictions where the Company’s subsidiaries are organized. Tax rates in the U.S. and various foreign jurisdictions have been and may continue to be subject to significant change. The Organization for Economic Cooperation and Development (“OECD”) has introduced a framework to implement a global minimum corporate income tax. To the extent that additional OECD guidance leads to legislative changes in countries where we operate, it is possible the changes may adversely impact our effective tax rate. This new minimum tax is not expected to be material to the Company. We are also subject to regular reviews, examinations and audits by the Internal Revenue Service and other taxing authorities with respect to taxes inside and outside of the U.S.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results of operations and financial position. We also need to comply with new, evolving or revised tax laws and regulations. The enactment of or increases in tariffs, sales or value-added tax, or other changes in the application of existing taxes, may have an adverse effect on our business or on our results of operations.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Economic Considerations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Currency exchange rate fluctuations could adversely affect our consolidated financial results and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subject to risks related to fluctuations in currency exchange rates. Our consolidated financial statements are presented in U.S. Dollars, requiring us to translate our assets, liabilities, revenue and expenses into U.S. Dollars. As a result, changes in the values of currencies may unpredictably and adversely impact our consolidated operating results, our asset and liability balances and our cash flows in our consolidated financial statements even if their value has not changed in their original currency. Given our global operations, we also pay for the ingredients, raw materials and commodities used in our business in numerous currencies. Fluctuations in exchange rates, including as a result of inflation, central bank monetary policies, currency controls or other currency exchange restrictions or geopolitical instability, have had, and could continue to have, an adverse impact on our financial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Disruptions in the worldwide economy and the financial markets may adversely impact our business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and uncertain economic and market conditions, such as inflation, economic slowdowns or recessions, increased unemployment, decreases in disposable income and declines in consumer confidence, particularly in the locations in which we operate, may impact customer and consumer demand for our products and our ability to manage normal commercial relationships with our customers, suppliers and creditors. Consumers may shift purchases to lower-priced or other perceived value offerings, which may adversely affect our results of operations. Consumers may also reduce the number of better-for-you products that they purchase where there are less expensive conventional or private label alternatives. Distributors and retailers may also become more conservative in response to these conditions and seek to reduce their inventories. Prolonged unfavorable economic conditions may have an adverse effect on any of these factors and, therefore, could adversely impact our sales and profitability.</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Our Reputation, Brands, Intangible Assets and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An impairment in the carrying value of goodwill or other acquired intangible assets could materially and adversely affect our consolidated results of operations and net worth.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we had goodwill of $246.1 million and trademarks and other intangibles assets of $173.5 million, which in the aggregate represented 38.5% of our total consolidated assets. The net carrying value of goodwill represents the fair value of acquired businesses in excess of identifiable assets and liabilities as of the acquisition date (or subsequent impairment date, if applicable), less any amounts ascribed to disposed businesses. Goodwill is not amortized but must be evaluated by management at least annually for impairment. Amortized intangible assets are evaluated for impairment whenever events or changes in circumstances indicate that the carrying amounts of these assets may not be recoverable. Impairments to goodwill and other intangible assets may be caused by factors outside our control, such as increasing competitive pricing pressures, changes in discount rates based on changes in cost of capital (interest rates, etc.), lower than expected sales and profit growth rates, or changes in industry Earnings Before Interest Taxes Depreciation and Amortization (“EBITDA”) multiples.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We have in the past recorded, and may in the future be required to record, significant charges in our consolidated financial statements during the period in which any impairment of our goodwill or intangible assets is determined. For example, during fiscal 2026, we recorded aggregate non-cash goodwill impairment charges of $38.5 million within our North America segment and $154.7 million within our International segment. The occurrence of additional impairment charges could negatively affect our results of operations and adversely impact our net worth and our consolidated earnings in the period of such charge. For further information, see Note 9, </w:t>
      </w:r>
      <w:r>
        <w:rPr>
          <w:rFonts w:ascii="Times New Roman" w:hAnsi="Times New Roman"/>
          <w:i/>
          <w:color w:val="000000"/>
          <w:sz w:val="20"/>
        </w:rPr>
        <w:t>Goodwill and Other Intangible Assets</w:t>
      </w:r>
      <w:r>
        <w:rPr>
          <w:rFonts w:ascii="Times New Roman" w:hAnsi="Times New Roman"/>
          <w:color w:val="000000"/>
          <w:sz w:val="20"/>
        </w:rPr>
        <w:t xml:space="preserve">, in the Notes to Consolidated Financial Statements included in Item 8 of this Form 10-K, and </w:t>
      </w:r>
      <w:r>
        <w:rPr>
          <w:rFonts w:ascii="Times New Roman" w:hAnsi="Times New Roman"/>
          <w:i/>
          <w:color w:val="000000"/>
          <w:sz w:val="20"/>
        </w:rPr>
        <w:t>Critical Accounting Estimates,</w:t>
      </w:r>
      <w:r>
        <w:rPr>
          <w:rFonts w:ascii="Times New Roman" w:hAnsi="Times New Roman"/>
          <w:color w:val="000000"/>
          <w:sz w:val="20"/>
        </w:rPr>
        <w:t xml:space="preserve"> in the Management’s Discussion and Analysis of Financial Condition and Results of Operations included in Item 7 of this Form 10-K.</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the reputation of our Company or our brands erodes significantly, it could have a material impact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financial success is directly dependent on the perception of our Company and our brands among our customers, consumers, employees and other constituents. Our results could be negatively impacted if our Company or one or more of our brands suffers substantial damage to its reputation due to real or perceived issues related to the quality or safety of our products or the Company’s societal impact. Further, the growing use of social media by consumers has greatly increased the speed and extent that information or misinformation and opinions can be shared. Negative posts or comments about us, our brands, or our products on social media could seriously damage our brands and reputation. Additionally, negative reaction to our marketing and advertising, including our social media content, could result in damage to our brands and reputation.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inability to use our trademarks or the trademarks we license from third parties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brand awareness is a significant component in a consumer’s decision to purchase one product over another in the highly competitive food, beverage and personal care industries. Although we endeavor to protect our trademarks and tradenames, these efforts may not be successful, and third parties may challenge our right to use one or more of our trademarks or tradenames. We believe that our trademarks and tradenames are significant to the marketing and sale of our products and that the inability to utilize certain of these names and marks, and/or the inability to prevent third parties from using similar names or marks, could have a material adverse effect on our business, results of operations and financial condition. In addition, if, in the course of developing new products or improving existing products, we are found to have infringed the intellectual property rights of others, directly or indirectly, such finding could have an adverse impact on our business, financial condition or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International segment markets products under brands licensed under trademark license agreements. If in the future we are unable to enforce, renew or renegotiate our licensing arrangements on terms acceptable to us, our financial results could be materially and adversely affected.</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Cybersecurity and Technology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 cybersecurity incident or other technology disruptions could negatively impact our business and our relationships with customers.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depend on information systems and technology, including public websites and cloud-based services, in substantially all aspects of our business, including communications among our employees and with suppliers, customers and consumers. Such uses of information systems and technology give rise to cybersecurity risks, including system disruption, security breach, malware, ransomware, theft, espionage and inadvertent release of information. We have become more reliant on mobile devices, remote communication and other technologies as part of the recent change in office working patterns, exacerbating our cybersecurity risk. Our business involves the storage and transmission of numerous classes of sensitive and/or confidential information and intellectual property, including customers’ and suppliers’ information, private information about employees, and financial and strategic information about the Company and its business partners. As we pursue new initiatives that improve our operations and cost structure, we are also expanding and improving our information technologies, resulting in a larger technological presence and increased exposure to cybersecurity risk. In addition, the rapid evolution and increased adoption of emerging technologies, such as artificial intelligence, may intensify our cybersecurity risks. If we fail to assess and identify cybersecurity risks associated with new initiatives, we may become increasingly vulnerable to such risks. While we currently maintain insurance coverage that, subject to its terms and conditions, is intended to address costs associated with certain aspects of cybersecurity incidents and information technology failures, this insurance coverage may not, depending on the specific facts and circumstances surrounding an incident, cover any or all losses or types of claims that arise from an incident, or the damage to our business, reputation or brands that may result from an incident. As the frequency and magnitude of cybersecurity incidents increase globally, we may be unable to obtain the insurance coverage that we think is appropriate or necessary to offset the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experienced cybersecurity threats and vulnerabilities in our systems and those of our third-party providers. Although, to date, such prior events have not had a material impact on our financial condition, results of operations or financial condition, the potential consequences of a future material cybersecurity attack could be significant and could include reputational damage, litigation with third parties, government enforcement actions, penalties, disruption to systems, unauthorized release of confidential or otherwise protected information, corruption of data and increased cybersecurity protection and remediation costs, which in turn could adversely affect our competitiveness, results of operations and financial condition. Due to the evolving nature of such security threats, the potential impact of any future incident cannot be predicted. For more information regarding the Company’s cybersecurity risk management, see Item 1C of this Annual Report on Form 10-K.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operations could be disrupted if our information technology systems fail to perform adequately.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efficient operation of our business depends on our information technology systems.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system failures and viruses. Any such damage or interruption could have a material adverse effect on our business.</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Litigation, Government Regulation and Compliance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Pending and future litigation may lead us to incur significant costs.</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 xml:space="preserve">We are, or may become, party to various lawsuits and claims arising in the normal course of business, which may include lawsuits or claims relating to product liability, the marketing and labeling of products, product recalls, contracts, intellectual property, employment matters, environmental matters, data protection or other aspects of our business as well as any securities class action and stockholder derivative litigation. For example, as discussed in Note 17, </w:t>
      </w:r>
      <w:r>
        <w:rPr>
          <w:rFonts w:ascii="Times New Roman" w:hAnsi="Times New Roman"/>
          <w:i/>
          <w:color w:val="000000"/>
          <w:sz w:val="20"/>
        </w:rPr>
        <w:t>Commitments and Contingencies</w:t>
      </w:r>
      <w:r>
        <w:rPr>
          <w:rFonts w:ascii="Times New Roman" w:hAnsi="Times New Roman"/>
          <w:color w:val="000000"/>
          <w:sz w:val="20"/>
        </w:rPr>
        <w:t>, in the Notes to the Consolidated Financial Statements included in Item 8 of this Form 10-K, we are subject to consumer class actions, and other lawsuits alleging some form of personal injury, relating to our Earth’s Best</w:t>
      </w:r>
      <w:r>
        <w:rPr>
          <w:rFonts w:ascii="Times New Roman" w:hAnsi="Times New Roman"/>
          <w:color w:val="000000"/>
          <w:sz w:val="13"/>
        </w:rPr>
        <w:t xml:space="preserve">® </w:t>
      </w:r>
      <w:r>
        <w:rPr>
          <w:rFonts w:ascii="Times New Roman" w:hAnsi="Times New Roman"/>
          <w:color w:val="000000"/>
          <w:sz w:val="20"/>
        </w:rPr>
        <w:t>baby food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or all of these legal disputes may result in monetary damages, penalties or injunctive relief against us, which could have a material adverse effect on our results of operations and financial condition. Any claims or litigation, even if fully indemnified or insured, could damage our reputation and make it more difficult to compete effectively or to obtain adequate insurance in the future.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significant liability should the consumption of any of our products cause illness or physical harm.</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 xml:space="preserve">The sale of products for human use and consumption involves the risk of injury or illness to consumers. Such injuries may result from inadvertent mislabeling, tampering by unauthorized third parties, product contamination, food-borne illnesses, allergens or spoilage. Under certain circumstances, we may be required to recall or withdraw products, suspend production of our products or cease operations, which could result in increased costs (including payment of fines and/or judgments, cleaning and remediation costs and legal fees, and costs associated with alternative sources of production), cancellation of customer orders and a decline in consumer confidence and demand, any of which could have a material adverse effect on our business. Even if a situation does not necessitate a recall or market withdrawal, product liability claims might be asserted against us. While we are subject to governmental inspection and regulations and believe our facilities and those of our co-manufacturers and suppliers comply in all material respects with all applicable laws and regulations, if the consumption of any of our products causes, or is alleged to have caused, an illness or physical harm, we may become subject to claims or lawsuits relating to such matters. For example, as discussed in Note 17, </w:t>
      </w:r>
      <w:r>
        <w:rPr>
          <w:rFonts w:ascii="Times New Roman" w:hAnsi="Times New Roman"/>
          <w:i/>
          <w:color w:val="000000"/>
          <w:sz w:val="20"/>
        </w:rPr>
        <w:t>Commitments and Contingencies</w:t>
      </w:r>
      <w:r>
        <w:rPr>
          <w:rFonts w:ascii="Times New Roman" w:hAnsi="Times New Roman"/>
          <w:color w:val="000000"/>
          <w:sz w:val="20"/>
        </w:rPr>
        <w:t>, in the Notes to the Consolidated Financial Statements included in Item 8 of this Form 10-K, we are subject to consumer class actions, and other lawsuits alleging some form of personal injury, relating to our Earth’s Best</w:t>
      </w:r>
      <w:r>
        <w:rPr>
          <w:rFonts w:ascii="Times New Roman" w:hAnsi="Times New Roman"/>
          <w:color w:val="000000"/>
          <w:sz w:val="13"/>
        </w:rPr>
        <w:t xml:space="preserve">® </w:t>
      </w:r>
      <w:r>
        <w:rPr>
          <w:rFonts w:ascii="Times New Roman" w:hAnsi="Times New Roman"/>
          <w:color w:val="000000"/>
          <w:sz w:val="20"/>
        </w:rPr>
        <w:t>baby food products. Even if a claim is unsuccessful or is not fully pursued, the negative publicity surrounding any assertion that our products were mislabeled, unsafe or caused illness or physical harm could adversely affect our reputation with existing and potential customers and consumers and our corporate and brand image. Our business could also be adversely affected if consumers lose confidence in the quality, safety and integrity of certain food products or ingredients, or the food safety system generally, even if such loss of confidence is unrelated to products in our portfolio. Although we maintain product liability and product recall insurance in an amount that we believe to be adequate, we may incur claims or liabilities for which we are not insured or that exceed the amount of our insurance coverage. A product liability judgment against us or a product recall could have a material adverse effect on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regulation could subject us to civil and criminal penalties, and any changes in the legal and regulatory frameworks in which we operate could make it more costly or challenging to manufacture and sell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operate in a highly regulated environment with constantly evolving legal and regulatory frameworks. Consequently, we are subject to a heightened risk of legal claims, government investigations and other regulatory enforcement actions. We are subject to extensive regulations in the United States, United Kingdom, Canada, Europe and any other countries where we manufacture, distribute and/or sell our products. The conduct of our business is subject to numerous laws and regulations relating to the registration and approval of our products, sourcing, manufacturing, storing, labeling, marketing, advertising, content (including whether a product contains genetically modified ingredients), quality, safety, transportation, supply chain, traceability, distribution, packaging, disposal, recycling, employment and occupational health and safety, environmental matters, machine learning and artificial intelligence and data privacy and protection. Enforcement of existing laws and regulations, changes in legal or regulatory requirements and/or evolving interpretations of existing requirements may result in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increased compliance costs or otherwise make it more costly or challenging to manufacture and sell our products, which could materially adversely affect our business, financial condition or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Compliance with data privacy laws may be costly, and non-compliance with such laws may result in significant liability.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Many jurisdictions in which the Company operates have laws and regulations relating to data privacy and protection of personal information, including the European Union GDPR and the California Consumer Privacy Act of 2018 (“CCPA”), as amended by the California Privacy Rights Act (“CPRA”), among other U.S. state laws. Failure to comply with GDPR or CCPA requirements or other data privacy laws could result in litigation, adverse publicity and significant penalties and damages. The law in this area continues to develop, and the changing nature of privacy laws could impact the Company’s processing of personal information related to the Company’s job applicants, employees, consumers, customers and vendors. The enactment of more restrictive laws, rules or regulations or future enforcement actions or investigations could impact us through increased costs or restrictions on our business, and noncompliance could result in regulatory penalties and significant liability.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be subject to significant liability that is not covered by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Environmental Considerations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Climate impacts may negatively affect our business and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concern that carbon dioxide and other greenhouse gases in the atmosphere may have an adverse impact on global temperatures, weather patterns and the frequency and severity of extreme weather and natural disasters. There have recently been numerous extreme weather and climate-related events, including historic droughts, heatwaves, wildfires, extreme cold and flooding. To the extent that these events have a negative effect on agricultural productivity, we may be subject to decreased availability or less favorable pricing for certain commodities that are necessary for our products. We may also be subjected to decreased availability of water, deteriorated quality of water or less favorable pricing for water, which could adversely impact our manufacturing and distribution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light of climate impacts, demand for sustainable products may increase, requiring us to incur incremental costs for additional transparency, due diligence and reporting. Moreover, the investment community, customers, consumers, employees, activists, media, regulators and other stakeholders, some of whom may have conflicting opinions, may scrutinize our sustainability initiatives, including any related goals, targets, methodologies or timelines. Any failure to meet stakeholder expectations on environmental or sustainability matters or any perception of a failure to act responsibly with respect to the environment could lead to adverse publicity, adversely impact our financial results and/or expose us to regulatory and legal risks. As a result, climate impacts and our actions related thereto could negatively affect our business and operations.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Liabilities, claims or new laws or regulations with respect to environmental matters could have a significant negative impact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nature of our operations exposes us to the risk of liabilities and claims with respect to environmental matters, including those relating to the disposal and release of hazardous substances. Furthermore, our operations are governed by laws and regulations relating to workplace safety and worker health, which, among other things, regulate employee exposure to hazardous chemicals in the workplace. Any material costs incurred in connection with such liabilities or claims could have a material adverse effect on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Global focus on climate impacts may lead to new environmental laws and regulations that impact our business. For example, there are a growing number of laws and regulations regarding product packaging, particularly in Europe. Our compliance with such existing laws and regulations and any new laws or regulations enacted in the future, or any changes in how existing laws or regulations will be enforced, administered or interpreted, may lead to an increase in compliance costs, cause us to change the way we operate or expose us to additional risk of liabilities and claims, which could have a material adverse effect on our business, results of operations and financial condition.</w:t>
      </w:r>
    </w:p>
    <w:p>
      <w:pPr>
        <w:pStyle w:val="TextBody"/>
        <w:bidi w:val="0"/>
        <w:spacing w:before="200" w:after="283"/>
        <w:jc w:val="both"/>
        <w:rPr>
          <w:rFonts w:ascii="Times New Roman" w:hAnsi="Times New Roman"/>
          <w:b/>
          <w:color w:val="000000"/>
          <w:sz w:val="20"/>
          <w:u w:val="single"/>
        </w:rPr>
      </w:pPr>
      <w:r>
        <w:rPr>
          <w:rFonts w:ascii="Times New Roman" w:hAnsi="Times New Roman"/>
          <w:b/>
          <w:color w:val="000000"/>
          <w:sz w:val="20"/>
          <w:u w:val="single"/>
        </w:rPr>
        <w:t>Risks Related to the Ownership of Our Securities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our common stock continues to trade below $1.00 per share, it may cease to be listed on Nasdaq.</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previously disclosed, on March 24, 2026, we received a letter from the Listing Qualifications Staff of Nasdaq informing us that our common stock failed to comply with the minimum bid price required for continued listing on The Nasdaq Global Select Market under Nasdaq Listing Rule 5450(a)(1) based upon the bid price of the common stock closing below $1.00 for 30 consecutive business days.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of this Form 10-K, our common stock has not regained compliance with the minimum bid price required for continued listing on The Nasdaq Global Select Market. We are currently evaluating actions to resolve the deficiency and regain compliance with the bid price requirement, including by effecting a reverse stock split, which we may propose to our stockholders as early as our 2026 annual meeting of stockholders. Given the uncertainty surrounding the potential timing of our proposal to approve a reverse stock split, there can be no assurance that we will be able to regain or maintain compliance with Nasdaq listing standards. Additionally, taking measures to regain compliance would require cash expenditures, which may be significant, and divert management time and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our common stock were delisted, we may seek to list our common stock on a regional stock exchange, or, if one or more broker-dealer market makers comply with applicable requirements, the over-the-counter market. A delisting from Nasdaq could further depress our stock price, reduce the liquidity of our common stock and may result in investors finding it more difficult to dispose of or to obtain accurate quotations for the price of our common stock. A delisting from Nasdaq could also subject our common stock to so-called penny stock rules that impose additional sales practice and market-making requirements on broker-dealers who sell or make a market in such securities. Consequently, removal from Nasdaq and failure to obtain listing on another market or exchange could affect the ability or willingness of broker-dealers to sell or make a market in our common stock and the ability of purchasers of our common stock to sell their securities in the secondary market.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issue preferred stock may deter takeover attempts.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is empowered to issue, without stockholder approval, preferred stock with dividends, liquidation, conversion, voting or other rights, which could decrease the amount of earnings and assets available for distribution to holders of our common stock and adversely affect the relative voting power or other rights of the holders of our common stock. In the event of issuance, the preferred stock could be used as a method of discouraging, delaying or preventing a change in control. Our amended and restated certificate of incorporation authorizes the issuance of up to 5 million shares of “blank check” preferred stock with such designations, rights and preferences as may be determined from time to time by our Board of Directors. Although we have no present intention to issue any shares of our preferred stock, we may do so in the future under appropriate circumstances.</w:t>
      </w:r>
    </w:p>
    <w:p>
      <w:pPr>
        <w:pStyle w:val="TextBody"/>
        <w:bidi w:val="0"/>
        <w:spacing w:before="240" w:after="283"/>
        <w:jc w:val="both"/>
        <w:rPr>
          <w:rFonts w:ascii="Times New Roman" w:hAnsi="Times New Roman"/>
          <w:b/>
          <w:color w:val="000000"/>
          <w:sz w:val="20"/>
        </w:rPr>
      </w:pPr>
      <w:bookmarkStart w:id="6" w:name="item_1b_unresolved_staff_comments"/>
      <w:bookmarkEnd w:id="6"/>
      <w:r>
        <w:rPr>
          <w:rFonts w:ascii="Times New Roman" w:hAnsi="Times New Roman"/>
          <w:b/>
          <w:color w:val="000000"/>
          <w:sz w:val="20"/>
        </w:rPr>
        <w:t>Item 1B. Unresolved Staff Comments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7" w:name="cybersecurity"/>
      <w:bookmarkEnd w:id="7"/>
      <w:r>
        <w:rPr>
          <w:rFonts w:ascii="Times New Roman" w:hAnsi="Times New Roman"/>
          <w:b/>
          <w:color w:val="000000"/>
          <w:sz w:val="20"/>
        </w:rPr>
        <w:t>Item 1C. Cybersecurity</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Cybersecurity Risk Management and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enterprise risk management framework considers cybersecurity risk alongside other applicable risks as part of our overall risk assessment process. Within our comprehensive enterprise risk management framework, our cybersecurity risk management program is focused on assessing, identifying, and managing risks arising out of our use of information technology (“IT”) including the risk of cybersecurity incidents and threats. The program is informed by recognized frameworks such as the National Institute of Standards and Technology Cybersecurity Framework (“NIST CSF”). Our cybersecurity team utilizes a variety of tools, processes and outside resources to continue to raise and maintain its maturity across the elements of NIST CSF.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cybersecurity risk management program includes a Cyber Security Incident Response Plan (“CSIRP”). Our CSIRP supports the Company in identifying, containing, and tracking cybersecurity incidents experienced by us or our third-party service providers or suppliers. The CSIRP was established to minimize the impact of cybersecurity incidents on our networks, IT systems, users and business processes, and to ensure the timely and accurate reporting of material cybersecurity incidents, should they occur. The execution of our CSIRP is led by our Chief Information Officer (“CIO”), with support from a designated IT Incident Response Manager leading an Incident Response Team consisting of subject matter experts, as well as our Executive Response Team when appropriate. In the event of an incident, these individuals work together to assess its severity, notify and brief the appropriate team members, escalate to our Board of Directors as needed, and implement containment procedures. The Company also conducts tabletop exercises to enhance incident response preparedness and engages third parties, including consultants and other professionals, on an as-needed basis to assess and support our cybersecurity practices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cybersecurity risk management program is integrated into our operations and is widely communicated to employees through periodic (not less than annual) employee and contractor cybersecurity awareness training, which includes information about how to identify and report cybersecurity concerns and incidents. Our information technology organization also conducts phishing simulations and testing scenarios to help ensure compliance with our cybersecurity policies and procedures. These awareness measures are coupled with ongoing implementation of technology aimed to reduce vulnerabilities (including external testing and validation) and to monitor and assess threats. Our program includes monitoring on a continuous basis through automated tools and 24x7 managed services that detect threats and trigger alerts for assessment, investigation, and remediation by our information technology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business continuity and disaster recovery plans to prepare for potential information technology disruptions. We also maintain insurance coverage that, subject to its terms and conditions, is intended to address costs associated with certain aspects of cyber incidents and information systems failures. Based on the information we have as of the date of this Form 10-K, we do not believe any risks from cybersecurity threats, including as a result of any previous cybersecurity incidents, have materially affected or are reasonably likely to materially affect us, including our business strategy, results of operations or financial condition. See “Item 1A. Risk Factors – Risks Related to Cybersecurity and Technology” for further information about these risks.</w:t>
      </w:r>
    </w:p>
    <w:p>
      <w:pPr>
        <w:pStyle w:val="TextBody"/>
        <w:bidi w:val="0"/>
        <w:jc w:val="both"/>
        <w:rPr>
          <w:rFonts w:ascii="Times New Roman" w:hAnsi="Times New Roman"/>
          <w:b/>
          <w:i/>
          <w:color w:val="000000"/>
          <w:sz w:val="20"/>
        </w:rPr>
      </w:pPr>
      <w:r>
        <w:rPr>
          <w:rFonts w:ascii="Times New Roman" w:hAnsi="Times New Roman"/>
          <w:b/>
          <w:i/>
          <w:color w:val="000000"/>
          <w:sz w:val="20"/>
        </w:rPr>
        <w:t>Cybersecurity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of Directors has risk oversight responsibility for the Company, which it administers directly and with assistance from its committees. The Audit Committee assists the Board in its oversight of the cybersecurity risk management program. The Audit Committee is tasked with reviewing and receiving periodic reports from management regarding the Company’s information technology system controls and security and, at least annually, evaluating the adequacy of the Company’s information technology security program, compliance, governance processes, training and controls. The Audit Committee specifically oversees: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management’s evaluation of the potential impact of cybersecurity risk exposures on the Company’s business, financial results, operations and reputation,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steps management has taken to monitor and mitigate such exposures,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major legislative and regulatory developments that could materially impact such exposure, and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incident response planning (including escalation protocols), including with respect to the prompt reporting of material cybersecurity threats or incidents to management, the Audit Committee and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CIO periodically provides the Executive Leadership Team, which consists of the Company’s executive officers and other senior leaders, with cybersecurity briefings, information and training, and updates the Audit Committee on cybersecurity biannually or more frequently as appropriate. At any time, Board members may raise concerns regarding the Company’s cybersecurity posture and recommend changes regarding controls or procedures to management. Our CSIRP includes a process for incidents to be evaluated for material impact, with an escalation protocol requiring reporting of material incidents to the Executive Response Team and to the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CIO is the management position with primary responsibility for the development, operation, and maintenance of our cybersecurity risk management program. The CIO has deep experience in information systems and technology, including overseeing information and cybersecurity programs, roll-outs of new technology, information security audits and assessments, and cybersecurity operations focused on identification, mitigation and response to cybersecurity threats. The CIO has experience overseeing and executing technology strategies in complex, global, and matrixed environments. The CIO joined the Company in 1997 and thus has over 25 years of experience leading IT strategy and change initiatives in the consumer packaged goods industry. The CIO reports directly to our Chief Financial Officer.</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8" w:name="item_2_properties"/>
      <w:bookmarkEnd w:id="8"/>
      <w:r>
        <w:rPr>
          <w:rFonts w:ascii="Times New Roman" w:hAnsi="Times New Roman"/>
          <w:b/>
          <w:color w:val="000000"/>
          <w:sz w:val="20"/>
        </w:rPr>
        <w:t>Item 2.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facilities, which are leased except where otherwise indicated,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5"/>
        <w:gridCol w:w="146"/>
        <w:gridCol w:w="2121"/>
        <w:gridCol w:w="146"/>
        <w:gridCol w:w="167"/>
        <w:gridCol w:w="899"/>
        <w:gridCol w:w="146"/>
        <w:gridCol w:w="146"/>
        <w:gridCol w:w="1119"/>
      </w:tblGrid>
      <w:tr>
        <w:trPr/>
        <w:tc>
          <w:tcPr>
            <w:tcW w:w="5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5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 Use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Square 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of</w:t>
              <w:br/>
              <w:t>Lease</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Headquarters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Hoboken, 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2034</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Allentown, 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2032</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(Tea) and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Boulder,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Mississauga, ON, 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Mississauga, ON, 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offices (Personal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Mississauga, ON, 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(Tea)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Boulder, 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International: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offices (Ambient grocery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Histon, England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distribution and offices (Plant-based beverages)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Troisdorf, 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2037</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(Plant-based foods and 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Oberwart, Austria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 will</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(Plant-based frozen and chilled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Fakenham, England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Gent, Belgium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 will</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Niederziers, 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 will</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(Chilled soups)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Grimsby, England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 (Soups, hot-eat desserts, chilled products, grocery)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Peterborough, England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(Hot-eat desserts)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Clitheroe, England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r>
      <w:tr>
        <w:trPr/>
        <w:tc>
          <w:tcPr>
            <w:tcW w:w="5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Loipersdorf, Austria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At will</w:t>
            </w:r>
          </w:p>
        </w:tc>
      </w:tr>
      <w:tr>
        <w:trPr/>
        <w:tc>
          <w:tcPr>
            <w:tcW w:w="5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distribution (Plant-based foods and beverages)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Schwerin,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to the Company-owned or leased properties described above, our business also utilizes plants, warehouses and distribution centers that are owned or leased by our contract manufacturers or third-party logistics providers.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For further information regarding our lease obligations, see Note 8, </w:t>
      </w:r>
      <w:r>
        <w:rPr>
          <w:rFonts w:ascii="Times New Roman" w:hAnsi="Times New Roman"/>
          <w:i/>
          <w:color w:val="000000"/>
          <w:sz w:val="20"/>
        </w:rPr>
        <w:t>Leases</w:t>
      </w:r>
      <w:r>
        <w:rPr>
          <w:rFonts w:ascii="Times New Roman" w:hAnsi="Times New Roman"/>
          <w:color w:val="000000"/>
          <w:sz w:val="20"/>
        </w:rPr>
        <w:t>, in the Notes to Consolidated Financial Statements included in Part II, Item 8 of this Form 10-K.</w:t>
      </w:r>
    </w:p>
    <w:p>
      <w:pPr>
        <w:pStyle w:val="TextBody"/>
        <w:bidi w:val="0"/>
        <w:spacing w:before="200" w:after="283"/>
        <w:jc w:val="both"/>
        <w:rPr>
          <w:rFonts w:ascii="Times New Roman" w:hAnsi="Times New Roman"/>
          <w:b/>
          <w:color w:val="000000"/>
          <w:sz w:val="20"/>
        </w:rPr>
      </w:pPr>
      <w:bookmarkStart w:id="9" w:name="item_3_legal_proceedings"/>
      <w:bookmarkEnd w:id="9"/>
      <w:r>
        <w:rPr>
          <w:rFonts w:ascii="Times New Roman" w:hAnsi="Times New Roman"/>
          <w:b/>
          <w:color w:val="000000"/>
          <w:sz w:val="20"/>
        </w:rPr>
        <w:t>Item 3. Legal Proceedings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information called for by this item is incorporated herein by reference to Note 17, </w:t>
      </w:r>
      <w:r>
        <w:rPr>
          <w:rFonts w:ascii="Times New Roman" w:hAnsi="Times New Roman"/>
          <w:i/>
          <w:color w:val="000000"/>
          <w:sz w:val="20"/>
        </w:rPr>
        <w:t>Commitments and Contingencies</w:t>
      </w:r>
      <w:r>
        <w:rPr>
          <w:rFonts w:ascii="Times New Roman" w:hAnsi="Times New Roman"/>
          <w:color w:val="000000"/>
          <w:sz w:val="20"/>
        </w:rPr>
        <w:t>, in the Notes to the Consolidated Financial Statements included in Part II, Item 8 of this Form 10-K.</w:t>
      </w:r>
    </w:p>
    <w:p>
      <w:pPr>
        <w:pStyle w:val="TextBody"/>
        <w:bidi w:val="0"/>
        <w:spacing w:before="20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bookmarkStart w:id="12" w:name="item_5_market_for_registrants_common"/>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Outstanding shares of our common stock, par value $0.01 per share, are listed on The Nasdaq Stock Market LLC under the ticker symbol “HAIN”.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8, 2026, there were 227 holders of record of our common stock.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not paid any cash dividends on our common stock to date. The payment of all dividends will be at the discretion of our Board of Directors and will depend on, among other things, future earnings, operations, capital requirements, contractual restrictions, including restrictions under our credit facility, our general financial condition and general business conditions.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Issuance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months ended June 30, 2026, there were no shares repurchased under share repurchase programs approved by the Board of Directors.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there were 3,258 shares withheld by the Company to satisfy tax withholding obligations in connection with shares issued under stock-based compensation plans, at an average price of $0.70 per share. These shares withheld to satisfy tax withholding obligations do not constitute repurchases by the Company.</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Share Repurchase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2022, the Company’s Board of Directors authorized the repurchase of up to $200 million of the Company’s issued and outstanding common stock. Repurchases may be made from time to time in the open market, pursuant to pre-set trading plans, in private transactions or otherwise. The authorization does not have a stated expiration date. The extent to which the Company repurchases its shares and the timing of such repurchases will depend upon market conditions and other corporate considerations. During the fiscal year ended June 30, 2026, the Company did not repurchase any shares under the repurchase program. As of June 30, 2026, the Company had $173.5 million of remaining authorization under the share repurchase program.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4" w:name="item_7_managements_discussion"/>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i/>
          <w:color w:val="000000"/>
          <w:sz w:val="20"/>
        </w:rPr>
        <w:t>This Management’s Discussion and Analysis of Financial Condition and Results of Operations (this “MD&amp;A”) should be read in conjunction with Item 1A and the Consolidated Financial Statements and the related notes thereto for the period ended June 30, 2026 included in Item 8 of this Form 10-K. Forward-looking statements in this Form 10-K are qualified by the cautionary statement included under the heading, “Forward-Looking Statements” at the beginning of this Form 10-K.</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This MD&amp;A generally discusses fiscal 2026 and fiscal 2025 items and year-to-year comparisons between fiscal 2026 and fiscal 2025. Discussions of fiscal 2024 items and year-to-year comparisons between fiscal 2025 and fiscal 2024 that are not included in this Form 10-K can be found in “Part II, Item 7, Management’s Discussion and Analysis of Financial Condition and Results of Operations” of the Company’s Annual Report on Form 10-K for the fiscal year ended June 30, 2025, which was filed with the SEC on September 15, 2025 and is available on the SEC’s website at www.sec.gov.</w:t>
      </w:r>
    </w:p>
    <w:p>
      <w:pPr>
        <w:pStyle w:val="TextBody"/>
        <w:bidi w:val="0"/>
        <w:spacing w:before="200" w:after="283"/>
        <w:jc w:val="both"/>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in over 70 countries around the world. The Company operates under two reportable segments: North America and International.</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The Company’s leading brands include Celestial Seasonings</w:t>
      </w:r>
      <w:r>
        <w:rPr>
          <w:rFonts w:ascii="Times New Roman" w:hAnsi="Times New Roman"/>
          <w:color w:val="000000"/>
          <w:sz w:val="13"/>
        </w:rPr>
        <w:t xml:space="preserve">® </w:t>
      </w:r>
      <w:r>
        <w:rPr>
          <w:rFonts w:ascii="Times New Roman" w:hAnsi="Times New Roman"/>
          <w:color w:val="000000"/>
          <w:sz w:val="20"/>
        </w:rPr>
        <w:t>teas, The Greek Gods</w:t>
      </w:r>
      <w:r>
        <w:rPr>
          <w:rFonts w:ascii="Times New Roman" w:hAnsi="Times New Roman"/>
          <w:color w:val="000000"/>
          <w:sz w:val="13"/>
        </w:rPr>
        <w:t xml:space="preserve">® </w:t>
      </w:r>
      <w:r>
        <w:rPr>
          <w:rFonts w:ascii="Times New Roman" w:hAnsi="Times New Roman"/>
          <w:color w:val="000000"/>
          <w:sz w:val="20"/>
        </w:rPr>
        <w:t>yogurt, Earth’s Best</w:t>
      </w:r>
      <w:r>
        <w:rPr>
          <w:rFonts w:ascii="Times New Roman" w:hAnsi="Times New Roman"/>
          <w:color w:val="000000"/>
          <w:sz w:val="13"/>
        </w:rPr>
        <w:t xml:space="preserve">® </w:t>
      </w:r>
      <w:r>
        <w:rPr>
          <w:rFonts w:ascii="Times New Roman" w:hAnsi="Times New Roman"/>
          <w:color w:val="000000"/>
          <w:sz w:val="20"/>
        </w:rPr>
        <w:t>Organic and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among others.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Strategic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year 2025, we announced that our Board of Directors was conducting a comprehensive review of the Company’s portfolio with the assistance of our independent financial advisor.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North American Snacks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part of this review, on February 27, 2026, the Company completed the sale (the “North American Snacks Transaction”) of its North American Snacks business, including Garden Veggie Snacks, Terra</w:t>
      </w:r>
      <w:r>
        <w:rPr>
          <w:rFonts w:ascii="Times New Roman" w:hAnsi="Times New Roman"/>
          <w:color w:val="000000"/>
          <w:sz w:val="13"/>
        </w:rPr>
        <w:t xml:space="preserve">® </w:t>
      </w:r>
      <w:r>
        <w:rPr>
          <w:rFonts w:ascii="Times New Roman" w:hAnsi="Times New Roman"/>
          <w:color w:val="000000"/>
          <w:sz w:val="20"/>
        </w:rPr>
        <w:t>chips and Garden of Eatin’</w:t>
      </w:r>
      <w:r>
        <w:rPr>
          <w:rFonts w:ascii="Times New Roman" w:hAnsi="Times New Roman"/>
          <w:color w:val="000000"/>
          <w:sz w:val="13"/>
        </w:rPr>
        <w:t xml:space="preserve">® </w:t>
      </w:r>
      <w:r>
        <w:rPr>
          <w:rFonts w:ascii="Times New Roman" w:hAnsi="Times New Roman"/>
          <w:color w:val="000000"/>
          <w:sz w:val="20"/>
        </w:rPr>
        <w:t>snacks as well as certain private label products (the “North American Snacks Business”) and received $111.2 million in cash, reflecting the total purchase price of $115.0 million less the holdback of an estimate for a customary inventory adjustment, which was finalized following the closing. The Company used the net proceeds of $101.1 from the North American Snacks Transaction to reduce the Company’s indebtedness.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International Business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an additional step in the strategic review, on September 12, 2026, the Company entered into a Share Purchase Agreement (the “Purchase Agreement”) with entities (the “Purchasers”) affiliated with global private equity firm AURELIUS pursuant to which, subject to the terms and conditions set forth therein, the Purchasers have agreed to acquire from the Company (the “International Business Transaction”) the entities that operate Hain Celestial’s International business in the United Kingdom, Ireland and Europe, including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aggregate net cash proceeds to be realized, after transaction expenses and taxes and including cash to be distributed from the International Business prior to closing, are expected to be between £225.1 million and £228.8 million, or between approximately $305.0 million and $310.0 million. Upon closing of the International Business Transaction, the Company would use the net proceeds to reduce the Company’s indebtedness. The foregoing U.S. Dollar figures are based on current foreign exchange rates and are subject to change based on foreign exchange rates in effect at the time the International Business Transaction closes.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Consummation of the International Business Transaction is subject to regulatory approvals and the Company and its lenders entering into an amendment of the Company’s credit agreement, which currently has a maturity date of December 22, 2026, to extend such maturity date by not less than nine months. If the credit agreement amendment is not entered into by October 12, 2026, the Purchasers may terminate the Purchase Agreement.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discussions with its lenders to reach an agreement on an amendment of the Company’s credit agreement that would satisfy the closing condition for the International Business Transaction. While there can be no assurance that a credit agreement amendment will be obtained, the Company’s Board of Directors believes that extending the maturity date and completing the International Business Transaction would be in the best interests of the Company and its stakeholders.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See Note 1, </w:t>
      </w:r>
      <w:r>
        <w:rPr>
          <w:rFonts w:ascii="Times New Roman" w:hAnsi="Times New Roman"/>
          <w:i/>
          <w:color w:val="000000"/>
          <w:sz w:val="20"/>
        </w:rPr>
        <w:t>Description of the Business and Basis of Presentation</w:t>
      </w:r>
      <w:r>
        <w:rPr>
          <w:rFonts w:ascii="Times New Roman" w:hAnsi="Times New Roman"/>
          <w:color w:val="000000"/>
          <w:sz w:val="20"/>
        </w:rPr>
        <w:t>, under the heading “Strategic Review—International Business Transaction” in the Notes to the Consolidated Financial Statements included in Item 8 of this Form 10-K.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Restructuring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first quarter of fiscal year 2024, the Company began a multi</w:t>
        <w:noBreakHyphen/>
        <w:t>year restructuring program (the “Restructuring Program”) to improve profitability and support future growth. Cumulative pretax charges associated with the Restructuring Program are expected to be $135 million - $145 million, which represents an increase of $20 million from the previously reported range, primarily due to incremental restructuring actions expected to be incurred in connection with the International Business Transaction. Substantially all of the incremental $20 million in charges are expected to be cash charges, with approximately 70% of the charges expected to be incurred in fiscal year 2027 and the remaining 30% expected to be incurred in fiscal year 2028. Annualized pretax savings from this incremental portion of the Restructuring Program are expected to be approximately $16 million. As a result, the Restructuring Program is expected to conclude by fiscal year 2028, instead of the previously communicated completion date of fiscal year 2027. See Note 1, Description of the Business and Basis of Presentation, under the heading “Strategic Review—International Business Transaction” in the Notes to the Consolidated Financial Statements included in Item 8 of this Form 10-K.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fiscal year 2026 we incurred charges totaling $27.3 million associated with actions under the restructuring program, including employee-related costs, contract termination costs, asset write-downs, and other transformation-related expenses. To date, we incurred $113.3 million of restructuring charges, of these charges, $35.3 million were non-cash.</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Global Economic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Macroeconomic conditions continue to reflect inflation volatility, changes in interest rates, evolving fiscal and monetary policies, global supply chain challenges, and changes in U.S. and international trade restrictions and tariffs. In addition, ongoing geopolitical tensions, including the conflict involving Iran that began in February 2026, have contributed to volatility in energy and commodity markets and increased uncertainty across the global economy.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conditions have affected, and may continue to affect, fuel, transportation, logistics, and other input costs, as well as consumer spending patterns in certain markets. While the Company has not experienced a material disruption to its operations as a result of these developments, prolonged or escalating geopolitical and macroeconomic pressures could adversely impact costs, supply chain efficiency, demand trends, liquidity, and operating results. The Company continues to monitor the evolving macroeconomic and geopolitical environment and, where appropriate, implement measures to mitigate potential impacts on its business.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Comparison of Fiscal Year Ended June 30, 2026 to Fiscal Year Ended June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Consolidated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compares our results of operations, including as a percentage of net sales, on a consolidated basis, for the fiscal years ended June 30, 2026 and 2025 (dollars in thousands, other than per share amounts and percentages, which may not add due to rounding):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52"/>
        <w:gridCol w:w="146"/>
        <w:gridCol w:w="211"/>
        <w:gridCol w:w="931"/>
        <w:gridCol w:w="166"/>
        <w:gridCol w:w="146"/>
        <w:gridCol w:w="146"/>
        <w:gridCol w:w="571"/>
        <w:gridCol w:w="282"/>
        <w:gridCol w:w="146"/>
        <w:gridCol w:w="211"/>
        <w:gridCol w:w="931"/>
        <w:gridCol w:w="166"/>
        <w:gridCol w:w="146"/>
        <w:gridCol w:w="146"/>
        <w:gridCol w:w="571"/>
        <w:gridCol w:w="282"/>
        <w:gridCol w:w="146"/>
        <w:gridCol w:w="211"/>
        <w:gridCol w:w="841"/>
        <w:gridCol w:w="166"/>
        <w:gridCol w:w="146"/>
        <w:gridCol w:w="199"/>
        <w:gridCol w:w="717"/>
        <w:gridCol w:w="329"/>
      </w:tblGrid>
      <w:tr>
        <w:trPr/>
        <w:tc>
          <w:tcPr>
            <w:tcW w:w="2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insurance claim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and equity in net loss of equity-method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 Percentage is not meaningful due to one or more amounts being negative.</w:t>
      </w:r>
    </w:p>
    <w:p>
      <w:pPr>
        <w:pStyle w:val="TextBody"/>
        <w:bidi w:val="0"/>
        <w:jc w:val="both"/>
        <w:rPr>
          <w:rFonts w:ascii="Times New Roman" w:hAnsi="Times New Roman"/>
          <w:i/>
          <w:color w:val="000000"/>
          <w:sz w:val="20"/>
        </w:rPr>
      </w:pPr>
      <w:r>
        <w:rPr>
          <w:rFonts w:ascii="Times New Roman" w:hAnsi="Times New Roman"/>
          <w:i/>
          <w:color w:val="000000"/>
          <w:sz w:val="20"/>
        </w:rPr>
        <w:t>** Percentage is not meaningful due to significantly lower number or nil value in the comparative period.</w:t>
      </w:r>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Sales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Net sales in fiscal 2026 were $1.35 billion, a decrease of $206.4 million, or 13.2%, from net sales of $1.56 billion in fiscal 2025, primarily due to a decline in the North America reportable segment. Results for fiscal 2026 included an unfavorable impact of $208.2 million, or 12.6%, related to divestitures, held for sale businesses, discontinued brands and exited product categories and a favorable impact of $29.6 million, or 1.9%, from foreign exchange, as compared to the prior year. Organic net sales, defined as net sales adjusted to exclude the impact of acquisitions, divestitures, held for sale businesses, discontinued brands, exited product categories and foreign exchange, decreased $27.8 million, or 2.5%, from the prior year. The decrease in organic net sales was primarily due to decline in the International reportable segment, partially offset by growth in the North America reportable segment. Additionally, the decrease in organic net sales was comprised of a 3.2% decrease in volume/mix, partially offset by a 0.7% increase in price. Further details of changes in net sales by segment are provided below in the </w:t>
      </w:r>
      <w:r>
        <w:rPr>
          <w:rFonts w:ascii="Times New Roman" w:hAnsi="Times New Roman"/>
          <w:i/>
          <w:color w:val="000000"/>
          <w:sz w:val="20"/>
        </w:rPr>
        <w:t>Segment Results</w:t>
      </w:r>
      <w:r>
        <w:rPr>
          <w:rFonts w:ascii="Times New Roman" w:hAnsi="Times New Roman"/>
          <w:color w:val="000000"/>
          <w:sz w:val="20"/>
        </w:rPr>
        <w:t xml:space="preserve"> section.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Gross Profit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Gross profit in fiscal 2026 was $272.1 million, a decrease of $61.9 million, or 18.5%, from $334.1 million in fiscal 2025. Gross profit margin decreased to 20.1% from 21.4%, a decline of 130 basis points, primarily due to weaker performance in the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International segment. While North America gross profit declined because of lower sales volume, including the impact of the North American Snacks Transaction, and an unfavorable product mix, these impacts were more than offset by pricing actions and trade efficiencies, resulting in a 120-basis-point improvement in North America gross margin to 22.9%. In contrast, the International segment experienced lower gross profit due to cost inflation and reduced sales volume, partially offset by productivity savings, which drove the overall decline in consolidated gross margin.</w:t>
      </w:r>
    </w:p>
    <w:p>
      <w:pPr>
        <w:pStyle w:val="TextBody"/>
        <w:bidi w:val="0"/>
        <w:spacing w:before="40" w:after="160"/>
        <w:jc w:val="both"/>
        <w:rPr>
          <w:rFonts w:ascii="Times New Roman" w:hAnsi="Times New Roman"/>
          <w:color w:val="000000"/>
          <w:sz w:val="20"/>
          <w:u w:val="single"/>
        </w:rPr>
      </w:pPr>
      <w:r>
        <w:rPr>
          <w:rFonts w:ascii="Times New Roman" w:hAnsi="Times New Roman"/>
          <w:color w:val="000000"/>
          <w:sz w:val="20"/>
          <w:u w:val="single"/>
        </w:rPr>
        <w:t>Selling, General and Administrative Expenses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Selling, general and administrative expenses were $248.0 million in fiscal 2026, a decrease of $23.8 million, or 8.8%, from $271.8 million in fiscal 2025. The decrease was primarily due to a reduction in SG&amp;A associated with the disposition of the North American Snacks Business in February 2026 and continued overhead reduction actions.</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Goodwill Impairment</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During the fiscal year ended June 30, 2026, the Company recognized aggregate non-cash goodwill impairment charges of $193.2 million related to its U.S., U.K., and Western Europe reporting units. During the fiscal year ended June 30, 2025, the Company recorded aggregate non-cash goodwill impairment charges of $357.7 million within the North America segment related to its U.S. and Canada reporting units and $71.2 million within the International segment related to its U.K. reporting unit. See Note 9, </w:t>
      </w:r>
      <w:r>
        <w:rPr>
          <w:rFonts w:ascii="Times New Roman" w:hAnsi="Times New Roman"/>
          <w:i/>
          <w:color w:val="000000"/>
          <w:sz w:val="20"/>
        </w:rPr>
        <w:t>Goodwill and Other Intangible Assets</w:t>
      </w:r>
      <w:r>
        <w:rPr>
          <w:rFonts w:ascii="Times New Roman" w:hAnsi="Times New Roman"/>
          <w:color w:val="000000"/>
          <w:sz w:val="20"/>
        </w:rPr>
        <w:t xml:space="preserve">, and Note 15, </w:t>
      </w:r>
      <w:r>
        <w:rPr>
          <w:rFonts w:ascii="Times New Roman" w:hAnsi="Times New Roman"/>
          <w:i/>
          <w:color w:val="000000"/>
          <w:sz w:val="20"/>
        </w:rPr>
        <w:t>Fair Value Measurements</w:t>
      </w:r>
      <w:r>
        <w:rPr>
          <w:rFonts w:ascii="Times New Roman" w:hAnsi="Times New Roman"/>
          <w:color w:val="000000"/>
          <w:sz w:val="20"/>
        </w:rPr>
        <w:t xml:space="preserve">, in the Notes to Consolidated Financial Statements included in Item 8 of this Form 10-K. </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Long-Lived Asset and Intangibles Impairment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fiscal year ended June 30, 2026, the Company recognized aggregate non-cash impairment charges of $27.4 million, including (i) $14.6 million related to Hartley’s</w:t>
      </w:r>
      <w:r>
        <w:rPr>
          <w:rFonts w:ascii="Times New Roman" w:hAnsi="Times New Roman"/>
          <w:color w:val="000000"/>
          <w:sz w:val="13"/>
        </w:rPr>
        <w:t xml:space="preserve">® </w:t>
      </w:r>
      <w:r>
        <w:rPr>
          <w:rFonts w:ascii="Times New Roman" w:hAnsi="Times New Roman"/>
          <w:color w:val="000000"/>
          <w:sz w:val="20"/>
        </w:rPr>
        <w:t>jelly, Spectrum</w:t>
      </w:r>
      <w:r>
        <w:rPr>
          <w:rFonts w:ascii="Times New Roman" w:hAnsi="Times New Roman"/>
          <w:color w:val="000000"/>
          <w:sz w:val="13"/>
        </w:rPr>
        <w:t xml:space="preserve">® </w:t>
      </w:r>
      <w:r>
        <w:rPr>
          <w:rFonts w:ascii="Times New Roman" w:hAnsi="Times New Roman"/>
          <w:color w:val="000000"/>
          <w:sz w:val="20"/>
        </w:rPr>
        <w:t>culinary oils, and Earth’s Best</w:t>
      </w:r>
      <w:r>
        <w:rPr>
          <w:rFonts w:ascii="Times New Roman" w:hAnsi="Times New Roman"/>
          <w:color w:val="000000"/>
          <w:sz w:val="13"/>
        </w:rPr>
        <w:t xml:space="preserve">® </w:t>
      </w:r>
      <w:r>
        <w:rPr>
          <w:rFonts w:ascii="Times New Roman" w:hAnsi="Times New Roman"/>
          <w:color w:val="000000"/>
          <w:sz w:val="20"/>
        </w:rPr>
        <w:t xml:space="preserve">Organic tradenames and (ii) a $11.2 million charge primarily related to the personal care assets held for sale. See Note 4, </w:t>
      </w:r>
      <w:r>
        <w:rPr>
          <w:rFonts w:ascii="Times New Roman" w:hAnsi="Times New Roman"/>
          <w:i/>
          <w:color w:val="000000"/>
          <w:sz w:val="20"/>
        </w:rPr>
        <w:t>Assets and Liabilities Held for Sale</w:t>
      </w:r>
      <w:r>
        <w:rPr>
          <w:rFonts w:ascii="Times New Roman" w:hAnsi="Times New Roman"/>
          <w:color w:val="000000"/>
          <w:sz w:val="20"/>
        </w:rPr>
        <w:t xml:space="preserve">, Note 9, </w:t>
      </w:r>
      <w:r>
        <w:rPr>
          <w:rFonts w:ascii="Times New Roman" w:hAnsi="Times New Roman"/>
          <w:i/>
          <w:color w:val="000000"/>
          <w:sz w:val="20"/>
        </w:rPr>
        <w:t>Goodwill and Other Intangible Assets</w:t>
      </w:r>
      <w:r>
        <w:rPr>
          <w:rFonts w:ascii="Times New Roman" w:hAnsi="Times New Roman"/>
          <w:color w:val="000000"/>
          <w:sz w:val="13"/>
        </w:rPr>
        <w:t xml:space="preserve"> </w:t>
      </w:r>
      <w:r>
        <w:rPr>
          <w:rFonts w:ascii="Times New Roman" w:hAnsi="Times New Roman"/>
          <w:color w:val="000000"/>
          <w:sz w:val="20"/>
        </w:rPr>
        <w:t xml:space="preserve">and Note 15, </w:t>
      </w:r>
      <w:r>
        <w:rPr>
          <w:rFonts w:ascii="Times New Roman" w:hAnsi="Times New Roman"/>
          <w:i/>
          <w:color w:val="000000"/>
          <w:sz w:val="20"/>
        </w:rPr>
        <w:t>Fair Value Measurements</w:t>
      </w:r>
      <w:r>
        <w:rPr>
          <w:rFonts w:ascii="Times New Roman" w:hAnsi="Times New Roman"/>
          <w:color w:val="000000"/>
          <w:sz w:val="20"/>
        </w:rPr>
        <w:t>, in the Notes to the Consolidated Financial Statements included in Item 8 of this Form 10-K.</w:t>
      </w:r>
      <w:r>
        <w:rPr>
          <w:rFonts w:ascii="Times New Roman" w:hAnsi="Times New Roman"/>
          <w:color w:val="000000"/>
          <w:sz w:val="13"/>
        </w:rPr>
        <w:t xml:space="preserve"> </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fiscal year ended June 30, 2025, the Company recognized aggregate non-cash impairment charges of $66.9 million, including (i) $37.8 million related to Sensible Portions</w:t>
      </w:r>
      <w:r>
        <w:rPr>
          <w:rFonts w:ascii="Times New Roman" w:hAnsi="Times New Roman"/>
          <w:color w:val="000000"/>
          <w:sz w:val="13"/>
        </w:rPr>
        <w:t>®</w:t>
      </w:r>
      <w:r>
        <w:rPr>
          <w:rFonts w:ascii="Times New Roman" w:hAnsi="Times New Roman"/>
          <w:color w:val="000000"/>
          <w:sz w:val="20"/>
        </w:rPr>
        <w:t>, Belvedere, Imagine</w:t>
      </w:r>
      <w:r>
        <w:rPr>
          <w:rFonts w:ascii="Times New Roman" w:hAnsi="Times New Roman"/>
          <w:color w:val="000000"/>
          <w:sz w:val="13"/>
        </w:rPr>
        <w:t>®</w:t>
      </w:r>
      <w:r>
        <w:rPr>
          <w:rFonts w:ascii="Times New Roman" w:hAnsi="Times New Roman"/>
          <w:color w:val="000000"/>
          <w:sz w:val="20"/>
        </w:rPr>
        <w:t>, Health Valley</w:t>
      </w:r>
      <w:r>
        <w:rPr>
          <w:rFonts w:ascii="Times New Roman" w:hAnsi="Times New Roman"/>
          <w:color w:val="000000"/>
          <w:sz w:val="13"/>
        </w:rPr>
        <w:t>®</w:t>
      </w:r>
      <w:r>
        <w:rPr>
          <w:rFonts w:ascii="Times New Roman" w:hAnsi="Times New Roman"/>
          <w:color w:val="000000"/>
          <w:sz w:val="20"/>
        </w:rPr>
        <w:t>, and certain North America personal care intangible assets (Avalon Organics</w:t>
      </w:r>
      <w:r>
        <w:rPr>
          <w:rFonts w:ascii="Times New Roman" w:hAnsi="Times New Roman"/>
          <w:color w:val="000000"/>
          <w:sz w:val="13"/>
        </w:rPr>
        <w:t xml:space="preserve">® </w:t>
      </w:r>
      <w:r>
        <w:rPr>
          <w:rFonts w:ascii="Times New Roman" w:hAnsi="Times New Roman"/>
          <w:color w:val="000000"/>
          <w:sz w:val="20"/>
        </w:rPr>
        <w:t>and JASON</w:t>
      </w:r>
      <w:r>
        <w:rPr>
          <w:rFonts w:ascii="Times New Roman" w:hAnsi="Times New Roman"/>
          <w:color w:val="000000"/>
          <w:sz w:val="13"/>
        </w:rPr>
        <w:t>®</w:t>
      </w:r>
      <w:r>
        <w:rPr>
          <w:rFonts w:ascii="Times New Roman" w:hAnsi="Times New Roman"/>
          <w:color w:val="000000"/>
          <w:sz w:val="20"/>
        </w:rPr>
        <w:t xml:space="preserve">) and (ii) a $26.8 million charge primarily related to the personal care assets held for sale. See Note 4, </w:t>
      </w:r>
      <w:r>
        <w:rPr>
          <w:rFonts w:ascii="Times New Roman" w:hAnsi="Times New Roman"/>
          <w:i/>
          <w:color w:val="000000"/>
          <w:sz w:val="20"/>
        </w:rPr>
        <w:t xml:space="preserve">Assets and Liabilities Held for Sale, and </w:t>
      </w:r>
      <w:r>
        <w:rPr>
          <w:rFonts w:ascii="Times New Roman" w:hAnsi="Times New Roman"/>
          <w:color w:val="000000"/>
          <w:sz w:val="20"/>
        </w:rPr>
        <w:t xml:space="preserve">Note 9, </w:t>
      </w:r>
      <w:r>
        <w:rPr>
          <w:rFonts w:ascii="Times New Roman" w:hAnsi="Times New Roman"/>
          <w:i/>
          <w:color w:val="000000"/>
          <w:sz w:val="20"/>
        </w:rPr>
        <w:t>Goodwill and Other Intangible Assets</w:t>
      </w:r>
      <w:r>
        <w:rPr>
          <w:rFonts w:ascii="Times New Roman" w:hAnsi="Times New Roman"/>
          <w:color w:val="000000"/>
          <w:sz w:val="20"/>
        </w:rPr>
        <w:t>, in the Notes to the Consolidated Financial Statements included in Item 8 of this Form 10-K.</w:t>
      </w:r>
      <w:r>
        <w:rPr>
          <w:rFonts w:ascii="Times New Roman" w:hAnsi="Times New Roman"/>
          <w:color w:val="000000"/>
          <w:sz w:val="13"/>
        </w:rPr>
        <w:t xml:space="preserve">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Productivity and Transformation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Productivity and transformation costs remained relatively flat at $22.0 million in fiscal 2026, compared to $21.5 million in fiscal 2025.</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Productivity and transformation costs of $22.0 million in fiscal 2026 were primarily comprised of consultancy and employee-related costs in the amount of $10.6 million and $10.9 million, respectively. See Note 18, </w:t>
      </w:r>
      <w:r>
        <w:rPr>
          <w:rFonts w:ascii="Times New Roman" w:hAnsi="Times New Roman"/>
          <w:i/>
          <w:color w:val="000000"/>
          <w:sz w:val="20"/>
        </w:rPr>
        <w:t>Restructuring Program,</w:t>
      </w:r>
      <w:r>
        <w:rPr>
          <w:rFonts w:ascii="Times New Roman" w:hAnsi="Times New Roman"/>
          <w:color w:val="000000"/>
          <w:sz w:val="20"/>
        </w:rPr>
        <w:t xml:space="preserve"> in the Notes to the Consolidated Financial Statements included in Item 8 of this Form 10-K.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Amortization of Acquired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acquired intangibles was $10.8 million in fiscal 2026, an increase of $4.3 million, or 66.8%, from $6.5 million in fiscal 2025. Effective April 1, 2026, as part of its annual impairment testing and in connection with the ongoing strategic review and business strategy to focus on simplifying the organization and its portfolio, the Company changed the estimated useful life of its remaining intangible assets from indefinite to definite.</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Operating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Operating loss in fiscal 2026 was $203.5 million compared to $461.6 million in fiscal 2025 due to the items described above.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Interest and Other Financing Expense, Net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Interest and other financing expense, net totaled $57.0 million in fiscal 2026, an increase of $5.7 million, or 11.1%, from $51.3 million in the prior year. The increase resulted primarily from a higher interest rate spread as well as increased amortization of deferred financing fees related to the May 2025 and September 2025 amendments to our Credit Agreement, as defined below, partially offset by lower outstanding debt balance compared to the prior year period. See Note 11,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Item 8 of this Form 10-K.</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Other Expense, Net</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Other expense, net was $46.3 million in fiscal 2026, compared to $0.9 million in the prior year. The change was primarily due to the recognition of a pretax loss of $50.8 million on the sale of North American Snacks Business in fiscal 2026. See Note 5, </w:t>
      </w:r>
      <w:r>
        <w:rPr>
          <w:rFonts w:ascii="Times New Roman" w:hAnsi="Times New Roman"/>
          <w:i/>
          <w:color w:val="000000"/>
          <w:sz w:val="20"/>
        </w:rPr>
        <w:t>Dispositions</w:t>
      </w:r>
      <w:r>
        <w:rPr>
          <w:rFonts w:ascii="Times New Roman" w:hAnsi="Times New Roman"/>
          <w:color w:val="000000"/>
          <w:sz w:val="20"/>
        </w:rPr>
        <w:t>, in the Notes to Consolidated Financial Statements included in Item 8 of this Form 10-K.</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Loss Before Income Taxes and 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Loss before income taxes and equity in the net loss of our equity-method investees for fiscal 2026 was $306.8 million compared to $513.7 million in fiscal 2025. The decrease was due to the items discussed above.</w:t>
      </w:r>
    </w:p>
    <w:p>
      <w:pPr>
        <w:pStyle w:val="TextBody"/>
        <w:bidi w:val="0"/>
        <w:spacing w:before="200" w:after="283"/>
        <w:jc w:val="left"/>
        <w:rPr>
          <w:rFonts w:ascii="Times New Roman" w:hAnsi="Times New Roman"/>
          <w:sz w:val="20"/>
        </w:rPr>
      </w:pPr>
      <w:r>
        <w:rPr>
          <w:rFonts w:ascii="Times New Roman" w:hAnsi="Times New Roman"/>
          <w:color w:val="000000"/>
          <w:sz w:val="20"/>
          <w:u w:val="single"/>
        </w:rPr>
        <w:t>(Benefit) Provision for Income Taxes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(benefit) provision for income taxes includes federal, foreign, state and local income taxes. Our income tax benefit was $2.2 million for fiscal 2026 compared to an expense of $15.3 million for fiscal 2025. Income tax in fiscal 2026 reflected current tax on operations in certain jurisdictions and an increase in the accrual for uncertain tax positions. We did not record income tax benefits for losses incurred in certain jurisdictions, as it is not more likely than not that we will utilize such benefits due to the combination of our history of pretax losses and our inability to carry forward or carry back tax losses or credits.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effective income tax rate was a benefit of 0.7% and an expense of 3.0% for the fiscal year ended June 30, 2026 and 2025, respectively. The effective income tax rate for the year ended June 30, 2026 was primarily impacted by the recognition of a valuation allowance as a result of the reduction in deferred tax liabilities due to the above-noted impairment charges on intangible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effective income tax rate for the year ended June 30, 2025 was primarily impacted by the recognition of a valuation allowance against deferred tax assets as a result of the reduction in deferred tax liabilities due to the above-noted impairment charges on intangible assets and recognition of uncertain tax positions.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effective tax rate may change from period-to-period based on recurring and nonrecurring factors including the geographical mix of earnings, enacted tax legislation, state and local income taxes and tax audit settlements.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See Note 12, </w:t>
      </w:r>
      <w:r>
        <w:rPr>
          <w:rFonts w:ascii="Times New Roman" w:hAnsi="Times New Roman"/>
          <w:i/>
          <w:color w:val="000000"/>
          <w:sz w:val="20"/>
        </w:rPr>
        <w:t xml:space="preserve">Income Taxes, </w:t>
      </w:r>
      <w:r>
        <w:rPr>
          <w:rFonts w:ascii="Times New Roman" w:hAnsi="Times New Roman"/>
          <w:color w:val="000000"/>
          <w:sz w:val="20"/>
        </w:rPr>
        <w:t>in the Notes to Consolidated Financial Statements included in Item 8 of this Form 10-K for additional information.</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Equity in Net Loss of Equity-Method Investees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equity in the net loss from our equity method investments for fiscal 2026 was a loss of $0.4 million compared to a $1.8 million loss for fiscal 2025.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Net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loss for fiscal 2026 was $304.9 million, or $3.36 per diluted share, compared to $530.8 million, or $5.89 per diluted share, in fiscal 2025. The change was attributable to the factors noted above.</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Adjusted EBITDA</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consolidated Adjusted EBITDA was $89.0 million and $113.8 million for fiscal 2026 and 2025, respectively, as a result of the factors discussed above. See </w:t>
      </w:r>
      <w:r>
        <w:rPr>
          <w:rFonts w:ascii="Times New Roman" w:hAnsi="Times New Roman"/>
          <w:i/>
          <w:color w:val="000000"/>
          <w:sz w:val="20"/>
        </w:rPr>
        <w:t xml:space="preserve">Reconciliation of Non-U.S. GAAP Financial Measures to U.S. GAAP Measures </w:t>
      </w:r>
      <w:r>
        <w:rPr>
          <w:rFonts w:ascii="Times New Roman" w:hAnsi="Times New Roman"/>
          <w:color w:val="000000"/>
          <w:sz w:val="20"/>
        </w:rPr>
        <w:t>following the discussion of our results of operations for definitions and a reconciliation of our net loss to Adjusted EBITDA.</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a summary of net sales and Adjusted EBITDA by reportable segment for the fiscal years ended June 30, 2026 and 2025:</w:t>
      </w:r>
    </w:p>
    <w:p>
      <w:pPr>
        <w:pStyle w:val="TextBody"/>
        <w:bidi w:val="0"/>
        <w:jc w:val="both"/>
        <w:rPr/>
      </w:pPr>
      <w:r>
        <w:rPr/>
        <w:t> </w:t>
      </w:r>
    </w:p>
    <w:tbl>
      <w:tblPr>
        <w:tblW w:w="9222" w:type="dxa"/>
        <w:jc w:val="left"/>
        <w:tblInd w:w="0" w:type="dxa"/>
        <w:tblLayout w:type="fixed"/>
        <w:tblCellMar>
          <w:top w:w="28" w:type="dxa"/>
          <w:left w:w="28" w:type="dxa"/>
          <w:bottom w:w="28" w:type="dxa"/>
          <w:right w:w="28" w:type="dxa"/>
        </w:tblCellMar>
      </w:tblPr>
      <w:tblGrid>
        <w:gridCol w:w="2221"/>
        <w:gridCol w:w="146"/>
        <w:gridCol w:w="240"/>
        <w:gridCol w:w="960"/>
        <w:gridCol w:w="331"/>
        <w:gridCol w:w="146"/>
        <w:gridCol w:w="226"/>
        <w:gridCol w:w="840"/>
        <w:gridCol w:w="331"/>
        <w:gridCol w:w="146"/>
        <w:gridCol w:w="371"/>
        <w:gridCol w:w="1294"/>
        <w:gridCol w:w="271"/>
        <w:gridCol w:w="146"/>
        <w:gridCol w:w="211"/>
        <w:gridCol w:w="931"/>
        <w:gridCol w:w="4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 and Other</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888,626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671,154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See the </w:t>
      </w:r>
      <w:r>
        <w:rPr>
          <w:rFonts w:ascii="Times New Roman" w:hAnsi="Times New Roman"/>
          <w:i/>
          <w:color w:val="000000"/>
          <w:sz w:val="20"/>
        </w:rPr>
        <w:t>Reconciliation of Non-U.S. GAAP Financial Measures to U.S. GAAP Measures</w:t>
      </w:r>
      <w:r>
        <w:rPr>
          <w:rFonts w:ascii="Times New Roman" w:hAnsi="Times New Roman"/>
          <w:color w:val="000000"/>
          <w:sz w:val="20"/>
        </w:rPr>
        <w:t xml:space="preserve"> following the discussion of our results of operations and Note 20,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Item 8 of this Form 10-K for a reconciliation of segment Adjusted EBITDA.</w:t>
      </w:r>
    </w:p>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North America</w:t>
      </w:r>
      <w:r>
        <w:rPr>
          <w:rFonts w:ascii="Times New Roman" w:hAnsi="Times New Roman"/>
          <w:color w:val="000000"/>
          <w:sz w:val="20"/>
        </w:rPr>
        <w:t xml:space="preserve"> </w:t>
      </w:r>
    </w:p>
    <w:p>
      <w:pPr>
        <w:pStyle w:val="TextBody"/>
        <w:bidi w:val="0"/>
        <w:spacing w:before="200" w:after="283"/>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Our net sales in the North America reportable segment for fiscal 2026 were $685.1 million, a decrease of $203.6 million, or 22.9%, primarily due to impact of $204.6 million, or 23.1%, related to divestitures, held for sale businesses, discontinued brands and exited product categories, as compared to the prior year. Organic net sales were effectively flat year-over-year, as growth in meal preparation and beverages categories was offset by lower sales in the baby &amp; kids category.</w:t>
      </w:r>
    </w:p>
    <w:p>
      <w:pPr>
        <w:pStyle w:val="TextBody"/>
        <w:bidi w:val="0"/>
        <w:jc w:val="both"/>
        <w:rPr>
          <w:rFonts w:ascii="Times New Roman" w:hAnsi="Times New Roman"/>
          <w:color w:val="000000"/>
          <w:sz w:val="20"/>
        </w:rPr>
      </w:pPr>
      <w:r>
        <w:rPr>
          <w:rFonts w:ascii="Times New Roman" w:hAnsi="Times New Roman"/>
          <w:color w:val="000000"/>
          <w:sz w:val="20"/>
        </w:rPr>
        <w:t>The decrease in net sales was primarily due to lower sales in the snacks category, reflecting the disposition of the North American Snacks business in February 2026 and, to a lesser extent, declines in the meal preparation and personal care categories.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in fiscal 2026 was $61.2 million, a decrease of $4.2 million from $65.5 million in fiscal 2025. The decrease was primarily related to volume/mix and cost inflation, partially offset by productivity initiatives, reduction in selling, general, and administrative expenses, and improved pricing. Adjusted EBITDA margin was 8.9%, a 160-basis point increase from the prior year, primarily reflecting the improved Adjusted EBITDA margin following the sale of the North American Snacks business.</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International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sales in the International reportable segment for fiscal 2026 were $668.4 million, a decrease of $2.8 million, or 0.4%, including a favorable impact of $29.4 million, or 4.4% related to foreign exchange, as compared to the prior year. Organic net sales decreased $28.5 million, or 4.3%, to $633.4 million from $671.2 million in fiscal 2025.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decrease in net sales for fiscal 2026 was primarily driven by lower sales in the baby &amp; kids and snacks categories, partially offset by growth in the beverages and meal preparation categories. Organic net sales also declined, mainly due to softness in the baby &amp; kids and meal preparation categories. The decrease in the baby &amp; kids category was primarily driven by continued industry-wide volume softness in purees in the U.K. The decrease in the meal preparation category was due to a decline in private label spreads and drizzles as a result of contract losses, softness in meat alternatives and weak soup performance across brands.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Adjusted EBITDA in fiscal 2026 was $63.5 million, a decrease of $22.5 million from $86.0 million in fiscal 2025. The decrease was primarily driven by cost inflation and volume and mix softness, partially offset by productivity savings and pricing. Adjusted EBITDA margin was 9.5%, a 330-basis point decrease from the prior year.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Corporate and Other</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decrease in Corporate and Other Adjusted EBITDA primarily reflected a reduction in compensation-related expenses. Refer to Note 20, </w:t>
      </w:r>
      <w:r>
        <w:rPr>
          <w:rFonts w:ascii="Times New Roman" w:hAnsi="Times New Roman"/>
          <w:i/>
          <w:color w:val="000000"/>
          <w:sz w:val="20"/>
        </w:rPr>
        <w:t>Segment Information</w:t>
      </w:r>
      <w:r>
        <w:rPr>
          <w:rFonts w:ascii="Times New Roman" w:hAnsi="Times New Roman"/>
          <w:color w:val="000000"/>
          <w:sz w:val="20"/>
        </w:rPr>
        <w:t>, in the Notes to the Consolidated Financial Statements included in Item 8 of this Form 10-K for additional details.</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We finance our operations and growth primarily with the cash flows we generate from our operations and from borrowings available to us under our Credit Agreement (as defined below). We believe that our cash flows from operations and borrowing capacity under our Credit Agreement will be adequate to meet anticipated operating and other expenditures through its maturity date. However, the Credit Agreement matures in December 2026, and the Company continues to engage with lenders and other third parties regarding refinancing, an extension of the maturity date, and potential capital raising or other strategic transactions. There can be no assurance that these efforts will be successful or completed on acceptable terms, or at all. Any default by us under the credit agreement, including our failure to repay in full the Credit Agreement at or prior to maturity, could have a material adverse effect on our business and financial condition, including being forced to seek relief under federal bankruptcy laws or to pursue a restructuring, wind-down, or liquidation, and holders of our common stock could experience a significant or complete loss of their investment. Please refer to the risk factor “Any default under our credit agreement or inability to refinance our indebtedness could have significant consequences” set forth in Part I, Item 1A, “Risk Factors” and Note 11,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Item 8 of this Form 10-K.</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Amended and Restated Credit Agreement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On December 22, 2021, the Company entered into a Fourth Amended and Restated Credit Agreement (as subsequently amended, the “Credit Agreement”). The Credit Agreement originally provided for senior secured financing of $1,100.0 million in the aggregate, consisting of (1) $300.0 million in aggregate principal amount of term loans (the “Term Loans”) and (2) an $800.0 million senior secured revolving credit facility (which includes borrowing capacity available for letters of credit, and was originally comprised of a $440.0 million U.S. revolving credit facility and $360.0 million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 The Credit Agreement includes financial covenants that require compliance with a consolidated secured leverage ratio, a consolidated leverage ratio and a consolidated interest coverage ratio.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The Company’s maximum consolidated leverage ratio remained at 6.00:1.00, and its minimum consolidated interest coverage ratio remained at 2.75:1.00.</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 The Third Amendment also reduced the size of the Revolver from $800.0 million to $700.0 million in the aggregate, with the U.S. revolving credit facility reduced from $440.0 million to $385.0 million and the global revolving credit facility reduced from $360.0 million to $315.0 million.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 2.00:1.00 for the quarter ending September 30, 2025 and thereafter and (z) a covenant was added requiring the Company to maintain a minimum Consolidated EBITDA (as such term is defined in the Credit Agreement as amended by the Fourth Amendment) of (i) $17.0 million for the quarter ending September 30, 2025 and (ii) $52.0 million for the cumulative two quarters ending September 30, 2025 and on December 31, 2025. The aforementioned financial covenants use financial measures that are defined under the Credit Agreement and not pursuant to GAAP. The Fourth Amendment also reduced the size of the Revolver from $700.0 million to $600.0 million in the aggregate, with the U.S. revolving credit facility reduced from $385.0 million to $330.0 million and the global revolving credit facility reduced from $315.0 million to $270.0 million.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As of June 30, 2026, the Company’s consolidated secured leverage ratio, consolidated leverage ratio and consolidated interest coverage ratio were 4.53:1.00, 4.53:1.00 and 2.48:1.00, respectively, and the Company was in compliance with all associated covenants. The aforementioned financial covenants are being reported as calculated under the Credit Agreement and not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pursuant to generally accepted accounting principles in the U.S. (“GAAP”). Please refer to the Credit Agreement and amendments filed as exhibits to our periodic reports for further information related to the calculation thereof. For risks related to our indebtedness and compliance with these covenants, please refer to the risk factor “Any default under our credit agreement or inability to refinance our indebtedness could have significant consequences.” set forth in Part I, Item 1A, “Risk Factors”.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 Commencing on the date of the Third Amendment, loans under the Credit Agreement bore interest at (a) Term SOFR plus 3.00% per annum or (b) the Base Rate plus 2.00% per annum. Commencing on the date of the Fourth Amendment, loans under the Credit Agreement bear interest at (a) Term SOFR plus 4.00% per annum or (b) the Base Rate plus 3.00% per annum.</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Excluding the impact of hedges, the weighted average interest rate on outstanding borrowings under the Credit Agreement at June 30, 2026 was 7.92%. The Company uses interest rate swaps to hedge a portion of the interest rate risk related to its outstanding variable rate debt. As of June 30, 2026, the notional amount of the interest rate swaps was $400.0 million with fixed rate payments of 7.12%. Including the impact of hedges, the weighted average interest rate on outstanding borrowings under the Credit Agreement at June 30, 2026 was 7.38%. Additionally, the Credit Agreement contains a commitment fee of 0.25% per annum on the amount unused under the Credit Agreement.</w:t>
      </w:r>
    </w:p>
    <w:p>
      <w:pPr>
        <w:pStyle w:val="TextBody"/>
        <w:bidi w:val="0"/>
        <w:jc w:val="both"/>
        <w:rPr>
          <w:rFonts w:ascii="Times New Roman" w:hAnsi="Times New Roman"/>
          <w:color w:val="000000"/>
          <w:sz w:val="20"/>
        </w:rPr>
      </w:pPr>
      <w:r>
        <w:rPr>
          <w:rFonts w:ascii="Times New Roman" w:hAnsi="Times New Roman"/>
          <w:color w:val="000000"/>
          <w:sz w:val="20"/>
        </w:rPr>
        <w:t>As of June 30, 2026, there were $411.0 million of loans under the Revolver, $146.9 million of Term Loans, and $3.1 million of letters of credit outstanding under the Credit Agreement. As of June 30, 2026 and June 30, 2025, $185.9 million and $246.7 million, respectively, was available under the Credit Agreement, subject to compliance with the financial covenants. As of June 30, 2026, the Company was in compliance with all associated covenants.</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and Cash Equivalents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At June 30, 2026, our cash and cash equivalents balance was $58.1 million, relatively consistent with our cash and cash equivalents of $54.4 million at June 30, 2025. Our working capital was negative $414.5 million at June 30, 2026, a decrease of $667.4 million from $252.9 million at the end of fiscal 2025. The decrease was driven by the classification of $557.9 million of debt obligations, maturing on December 22, 2026, as current. Additionally, our total debt balance, net of unamortized issuance costs, at June 30, 2026 decreased by $147.0 million to $557.8 million as compared to $704.8 million at June 30, 2025 as a result of net repayments during the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cash balances are held in the U.S., U.K., Canada, Western Europe, the Middle East and India. As of June 30, 2026, substantially all cash was held outside of the U.S. and there are no material restrictions on repatriation.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maintain our cash and cash equivalents primarily in money market funds or their equivalent. Accordingly, we do not believe that our investments have significant exposure to interest rate risk.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u w:val="single"/>
        </w:rPr>
      </w:pPr>
      <w:r>
        <w:rPr>
          <w:rFonts w:ascii="Times New Roman" w:hAnsi="Times New Roman"/>
          <w:color w:val="000000"/>
          <w:sz w:val="20"/>
          <w:u w:val="single"/>
        </w:rPr>
        <w:t>Cash Provided by (Used in) Operating, Investing and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(used in) operating, investing and financing activities is summarized below.</w:t>
      </w:r>
    </w:p>
    <w:p>
      <w:pPr>
        <w:pStyle w:val="TextBody"/>
        <w:bidi w:val="0"/>
        <w:jc w:val="both"/>
        <w:rPr/>
      </w:pPr>
      <w:r>
        <w:rPr/>
        <w:t> </w:t>
      </w:r>
    </w:p>
    <w:tbl>
      <w:tblPr>
        <w:tblW w:w="7856" w:type="dxa"/>
        <w:jc w:val="left"/>
        <w:tblInd w:w="0" w:type="dxa"/>
        <w:tblLayout w:type="fixed"/>
        <w:tblCellMar>
          <w:top w:w="28" w:type="dxa"/>
          <w:left w:w="28" w:type="dxa"/>
          <w:bottom w:w="28" w:type="dxa"/>
          <w:right w:w="28" w:type="dxa"/>
        </w:tblCellMar>
      </w:tblPr>
      <w:tblGrid>
        <w:gridCol w:w="3466"/>
        <w:gridCol w:w="146"/>
        <w:gridCol w:w="211"/>
        <w:gridCol w:w="841"/>
        <w:gridCol w:w="166"/>
        <w:gridCol w:w="146"/>
        <w:gridCol w:w="211"/>
        <w:gridCol w:w="736"/>
        <w:gridCol w:w="166"/>
        <w:gridCol w:w="146"/>
        <w:gridCol w:w="283"/>
        <w:gridCol w:w="1127"/>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Dollars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Cash provided by operating activities was $78.3 million for the fiscal year ended June 30, 2026, an increase of $56.2 million from cash provided by operating activities of $22.1 million in the prior year. This increase in cash provided by operating activities versus the prior year resulted primarily from working capital changes versus the prior year, reflecting the following: (i) higher cash generation primarily due to focused inventory management, which generated year-over-year improvement of $76.3 million, (ii) a reduced outflow associated with accounts payable and accrued expenses in the amount of $11.3 million, (iii) an increase in accounts receivable collection of $10.6 million and (iv) a decrease in other assets recovery of $40.7 million. The changes in other current assets and accounts payable and accrued expenses for fiscal year 2026 reflected the recognition of a $35.0 million insurance receivable and corresponding settlement liability (see Note 17. </w:t>
      </w:r>
      <w:r>
        <w:rPr>
          <w:rFonts w:ascii="Times New Roman" w:hAnsi="Times New Roman"/>
          <w:i/>
          <w:color w:val="000000"/>
          <w:sz w:val="20"/>
        </w:rPr>
        <w:t>Commitments and Contingencies</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Cash provided by investing activities was $81.9 million for the fiscal year ended June 30, 2026, an increase of $78.3 million from cash provided by investing activities of $3.6 million in the prior year. The increase in cash provided by investing activities was primarily due to the receipt of proceeds from the sale of the Company’s North American Snacks Business in fiscal 2026 and a $4.7 million reduction in capital expenditures. Investing activities in fiscal 2025 included the receipt of sale proceeds and dividends from the sale of our equity method investment of $12.6 million.</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Cash used in financing activities was $151.1 million for the fiscal year ended June 30, 2026, an increase of $107.2 million compared to $43.9 million of cash used in financing activities in the prior year. The increase in cash used in financing activities was primarily due to higher net debt repayments during fiscal year ended June 30, 2026, including the use of $101.1 million of proceeds from the North American Snacks Transaction being used to repay a portion of the Term Loan and $15.0 million of incremental repayments of borrowings under the Revolver.</w:t>
      </w:r>
    </w:p>
    <w:p>
      <w:pPr>
        <w:pStyle w:val="TextBody"/>
        <w:bidi w:val="0"/>
        <w:spacing w:before="40" w:after="283"/>
        <w:jc w:val="both"/>
        <w:rPr>
          <w:rFonts w:ascii="Times New Roman" w:hAnsi="Times New Roman"/>
          <w:color w:val="000000"/>
          <w:sz w:val="20"/>
          <w:u w:val="single"/>
        </w:rPr>
      </w:pPr>
      <w:r>
        <w:rPr>
          <w:rFonts w:ascii="Times New Roman" w:hAnsi="Times New Roman"/>
          <w:color w:val="000000"/>
          <w:sz w:val="20"/>
          <w:u w:val="single"/>
        </w:rPr>
        <w:t>Free Cash Flow</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Free Cash Flow was $57.7 million for fiscal 2026, an increase of $60.8 million from negative free cash flow of $3.2 million in fiscal 2025. This year-over-year increase resulted primarily from an increase in cash flows from operations of $56.2 million driven by the reasons explained above. See the </w:t>
      </w:r>
      <w:r>
        <w:rPr>
          <w:rFonts w:ascii="Times New Roman" w:hAnsi="Times New Roman"/>
          <w:i/>
          <w:color w:val="000000"/>
          <w:sz w:val="20"/>
        </w:rPr>
        <w:t>Reconciliation of Non-U.S. GAAP Financial Measures to U.S. GAAP Measures</w:t>
      </w:r>
      <w:r>
        <w:rPr>
          <w:rFonts w:ascii="Times New Roman" w:hAnsi="Times New Roman"/>
          <w:color w:val="000000"/>
          <w:sz w:val="20"/>
        </w:rPr>
        <w:t xml:space="preserve"> following the discussion of our results of operations for definitions and a reconciliation from our net cash provided by operating activities to Free Cash Flow.</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u w:val="single"/>
        </w:rPr>
        <w:t>Share Repurchase Program</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fiscal year ended June 30, 2026, the Company did not repurchase any shares under the repurchase program. As of June 30, 2026, the Company had $173.5 million of remaining authorization under the share repurchase program.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Reconciliation of Non-U.S. GAAP Financial Measures to U.S. GAAP Measures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included in this report measures of financial performance that are not defined by U.S. GAAP. We believe that these measures provide useful information to investors and include these measures in other communications to investors.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each of these non-U.S. GAAP financial measures, we are providing below a reconciliation of the differences between the non-U.S. GAAP measure and the most directly comparable U.S. GAAP measure, an explanation of why our management and Board of Directors believe the non-U.S. GAAP measure provides useful information to investors and any additional purposes for which our management and Board of Directors use the non-U.S. GAAP measures. These non-U.S. GAAP measures should be viewed in addition to, and not in lieu of, the comparable U.S. GAAP measures.</w:t>
      </w:r>
    </w:p>
    <w:p>
      <w:pPr>
        <w:pStyle w:val="TextBody"/>
        <w:bidi w:val="0"/>
        <w:spacing w:before="200" w:after="283"/>
        <w:jc w:val="left"/>
        <w:rPr>
          <w:rFonts w:ascii="Times New Roman" w:hAnsi="Times New Roman"/>
          <w:color w:val="000000"/>
          <w:sz w:val="20"/>
          <w:u w:val="single"/>
        </w:rPr>
      </w:pPr>
      <w:r>
        <w:rPr>
          <w:rFonts w:ascii="Times New Roman" w:hAnsi="Times New Roman"/>
          <w:color w:val="000000"/>
          <w:sz w:val="20"/>
          <w:u w:val="single"/>
        </w:rPr>
        <w:t>Organic Net Sales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As noted above, we define organic net sales as net sales excluding the impact of acquisitions, divestitures, held for sale businesses, discontinued brands,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reconciliation between reported net sales and organic net sales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10"/>
        <w:gridCol w:w="146"/>
        <w:gridCol w:w="235"/>
        <w:gridCol w:w="874"/>
        <w:gridCol w:w="305"/>
        <w:gridCol w:w="146"/>
        <w:gridCol w:w="226"/>
        <w:gridCol w:w="840"/>
        <w:gridCol w:w="305"/>
        <w:gridCol w:w="146"/>
        <w:gridCol w:w="243"/>
        <w:gridCol w:w="1075"/>
        <w:gridCol w:w="354"/>
      </w:tblGrid>
      <w:tr>
        <w:trPr/>
        <w:tc>
          <w:tcPr>
            <w:tcW w:w="53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Hain Consolidated</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Twelve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685,053</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668,376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252,165</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257,824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29,363</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Twelve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432,639</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633,354</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1,065,993</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 Twelve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888,626</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671,154</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456,786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9,251</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466,037</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 Twelve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431,840</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661,903</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1,093,743</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 decline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divestitures, held for sale businesses, discontinued brands and exited product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Impact of foreign currency exchange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Organic net sales decline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Adjusted EBITDA</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defines Adjusted EBITDA as net loss before net interest expense, income taxes, depreciation and amortization, equity in net loss of equity-method investees, stock-based compensation, net, unrealized currency losses, proceeds from insurance claim, certain litigation expenses, net, plant closure related costs, net, warehouse and manufacturing consolidation and other costs, net, productivity and transformation costs, CEO succession costs, costs associated with acquisitions, divestitures and other transactions, (gains) losses on sales of assets, goodwill impairment, long-lived asset and intangibles impairment and other adjustments. 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 Adjusted EBITDA is a non-U.S. GAAP measure and may not be comparable to similarly titled measures reported by other companies.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We do not consider Adjusted EBITDA in isolation or as an alternative to financial measures determined in accordance with U.S.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U.S. GAAP results.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A reconciliation of net loss to Adjusted EBITDA is as follows:</w:t>
      </w:r>
    </w:p>
    <w:tbl>
      <w:tblPr>
        <w:tblW w:w="8214" w:type="dxa"/>
        <w:jc w:val="left"/>
        <w:tblInd w:w="0" w:type="dxa"/>
        <w:tblLayout w:type="fixed"/>
        <w:tblCellMar>
          <w:top w:w="28" w:type="dxa"/>
          <w:left w:w="28" w:type="dxa"/>
          <w:bottom w:w="28" w:type="dxa"/>
          <w:right w:w="28" w:type="dxa"/>
        </w:tblCellMar>
      </w:tblPr>
      <w:tblGrid>
        <w:gridCol w:w="5241"/>
        <w:gridCol w:w="146"/>
        <w:gridCol w:w="211"/>
        <w:gridCol w:w="841"/>
        <w:gridCol w:w="166"/>
        <w:gridCol w:w="146"/>
        <w:gridCol w:w="211"/>
        <w:gridCol w:w="841"/>
        <w:gridCol w:w="41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currency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Certain litigation expenses, net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Proceeds from insurance claim</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closure related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Warehouse/manufacturing consolidation and other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succession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 divestitures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Transaction and integration costs, net</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before="0" w:after="0"/>
        <w:jc w:val="both"/>
        <w:rPr>
          <w:rFonts w:ascii="Times New Roman" w:hAnsi="Times New Roman"/>
          <w:i/>
          <w:color w:val="000000"/>
          <w:sz w:val="20"/>
        </w:rPr>
      </w:pPr>
      <w:r>
        <w:rPr>
          <w:rFonts w:ascii="Times New Roman" w:hAnsi="Times New Roman"/>
          <w:i/>
          <w:color w:val="000000"/>
          <w:sz w:val="20"/>
        </w:rPr>
        <w:t>(a)</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Expenses and items relating to securities class action, baby food litigation, and SEC investigation.</w:t>
      </w:r>
    </w:p>
    <w:p>
      <w:pPr>
        <w:pStyle w:val="TextBody"/>
        <w:bidi w:val="0"/>
        <w:spacing w:lineRule="auto" w:line="360" w:before="0" w:after="0"/>
        <w:jc w:val="both"/>
        <w:rPr>
          <w:rFonts w:ascii="Times New Roman" w:hAnsi="Times New Roman"/>
          <w:i/>
          <w:color w:val="000000"/>
          <w:sz w:val="20"/>
        </w:rPr>
      </w:pPr>
      <w:r>
        <w:rPr>
          <w:rFonts w:ascii="Times New Roman" w:hAnsi="Times New Roman"/>
          <w:i/>
          <w:color w:val="000000"/>
          <w:sz w:val="20"/>
        </w:rPr>
        <w:t>(b)</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Represents a receivable under the Company's representation and warranty insurance related to one of its prior acquisitions, which was collected on January 2, 2026.</w:t>
      </w:r>
    </w:p>
    <w:p>
      <w:pPr>
        <w:pStyle w:val="TextBody"/>
        <w:bidi w:val="0"/>
        <w:spacing w:lineRule="auto" w:line="360" w:before="0" w:after="0"/>
        <w:jc w:val="both"/>
        <w:rPr>
          <w:rFonts w:ascii="Times New Roman" w:hAnsi="Times New Roman"/>
          <w:i/>
          <w:color w:val="000000"/>
          <w:sz w:val="20"/>
        </w:rPr>
      </w:pPr>
      <w:r>
        <w:rPr>
          <w:rFonts w:ascii="Times New Roman" w:hAnsi="Times New Roman"/>
          <w:i/>
          <w:color w:val="000000"/>
          <w:sz w:val="20"/>
        </w:rPr>
        <w:t>(c)</w:t>
      </w:r>
    </w:p>
    <w:p>
      <w:pPr>
        <w:pStyle w:val="TextBody"/>
        <w:bidi w:val="0"/>
        <w:jc w:val="both"/>
        <w:rPr>
          <w:rFonts w:ascii="Times New Roman" w:hAnsi="Times New Roman"/>
          <w:i/>
          <w:color w:val="000000"/>
          <w:sz w:val="20"/>
        </w:rPr>
      </w:pPr>
      <w:r>
        <w:rPr>
          <w:rFonts w:ascii="Times New Roman" w:hAnsi="Times New Roman"/>
          <w:i/>
          <w:color w:val="000000"/>
          <w:sz w:val="20"/>
        </w:rPr>
        <w:t>Expenses and items primarily relating to strategic review.</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Free Cash Flow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our internal evaluations, we use the non-GAAP financial measure “Free Cash Flow.” The difference between Free Cash Flow and cash flows provided by or used in operating activities, which is the most comparable U.S. GAAP financial measure, is that Free Cash Flow reflects the impact of purchases of property, plant and equipment (“capital expenditure”). Since capital expenditure is essential to maintaining our operational capabilities, we believe that it is a recurring and necessary use of cash. As such, we believe investors should also consider capital expenditure when evaluating our cash flows provided by or used in operating activities. We view Free Cash Flow as an important measure because it is one factor in evaluating the amount of cash available for discretionary investments. We do not consider Free Cash Flow in isolation or as an alternative to financial measures determined in accordance with U.S. GAAP. A reconciliation from cash flows provided by operating activities to Free Cash Flow is as follows:</w:t>
      </w:r>
    </w:p>
    <w:p>
      <w:pPr>
        <w:pStyle w:val="TextBody"/>
        <w:bidi w:val="0"/>
        <w:jc w:val="both"/>
        <w:rPr/>
      </w:pPr>
      <w:r>
        <w:rPr/>
        <w:t> </w:t>
      </w:r>
    </w:p>
    <w:tbl>
      <w:tblPr>
        <w:tblW w:w="6194" w:type="dxa"/>
        <w:jc w:val="left"/>
        <w:tblInd w:w="0" w:type="dxa"/>
        <w:tblLayout w:type="fixed"/>
        <w:tblCellMar>
          <w:top w:w="28" w:type="dxa"/>
          <w:left w:w="28" w:type="dxa"/>
          <w:bottom w:w="28" w:type="dxa"/>
          <w:right w:w="28" w:type="dxa"/>
        </w:tblCellMar>
      </w:tblPr>
      <w:tblGrid>
        <w:gridCol w:w="3631"/>
        <w:gridCol w:w="146"/>
        <w:gridCol w:w="211"/>
        <w:gridCol w:w="736"/>
        <w:gridCol w:w="166"/>
        <w:gridCol w:w="146"/>
        <w:gridCol w:w="211"/>
        <w:gridCol w:w="736"/>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We are party to contractual obligations involving commitments to make payments to third parties, which impact our short-term and long-term liquidity and capital resource needs. Our contractual obligations primarily consist of long-term debt and related interest payments and operating leases. See Note 8, </w:t>
      </w:r>
      <w:r>
        <w:rPr>
          <w:rFonts w:ascii="Times New Roman" w:hAnsi="Times New Roman"/>
          <w:i/>
          <w:color w:val="000000"/>
          <w:sz w:val="20"/>
        </w:rPr>
        <w:t>Leases</w:t>
      </w:r>
      <w:r>
        <w:rPr>
          <w:rFonts w:ascii="Times New Roman" w:hAnsi="Times New Roman"/>
          <w:color w:val="000000"/>
          <w:sz w:val="20"/>
        </w:rPr>
        <w:t xml:space="preserve">, and Note 11, </w:t>
      </w:r>
      <w:r>
        <w:rPr>
          <w:rFonts w:ascii="Times New Roman" w:hAnsi="Times New Roman"/>
          <w:i/>
          <w:color w:val="000000"/>
          <w:sz w:val="20"/>
        </w:rPr>
        <w:t>Debt and Borrowings</w:t>
      </w:r>
      <w:r>
        <w:rPr>
          <w:rFonts w:ascii="Times New Roman" w:hAnsi="Times New Roman"/>
          <w:color w:val="000000"/>
          <w:sz w:val="20"/>
        </w:rPr>
        <w:t>, in the Notes to the Consolidated Financial Statements included in Item 8 of this Form 10-K.</w:t>
      </w:r>
    </w:p>
    <w:p>
      <w:pPr>
        <w:pStyle w:val="TextBody"/>
        <w:bidi w:val="0"/>
        <w:spacing w:before="20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discussion and analysis of our financial condition and results of operations is based on our consolidated financial statements, which are prepared in accordance with accounting principles generally accepted in the United States. Our significant accounting policies are described in Note 2, </w:t>
      </w:r>
      <w:r>
        <w:rPr>
          <w:rFonts w:ascii="Times New Roman" w:hAnsi="Times New Roman"/>
          <w:i/>
          <w:color w:val="000000"/>
          <w:sz w:val="20"/>
        </w:rPr>
        <w:t>Summary of Significant Accounting Policies and Practices</w:t>
      </w:r>
      <w:r>
        <w:rPr>
          <w:rFonts w:ascii="Times New Roman" w:hAnsi="Times New Roman"/>
          <w:color w:val="000000"/>
          <w:sz w:val="20"/>
        </w:rPr>
        <w:t>, in the Notes to the Consolidated Financial Statements included in Item 8 of this Form 10-K. The policies below have been identified as the critical accounting policies we use which require us to make estimates and assumptions and exercise judgment that affect the reported amounts of assets and liabilities at the date of the financial statements and amounts of income and expenses during the reporting periods presented. We believe in the quality and reasonableness of our critical accounting estimates; however, materially different amounts might be reported under different conditions or using assumptions, estimates or making judgments different from those that we have applied. Our critical accounting policies, including our methodology for estimates made and assumptions used, are as follows: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Variable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fixed contract consideration, many of the Company’s contracts include some form of variable consideration. The Company offers various trade promotions and sales incentive programs to customers and consumers, such as price discounts, slotting fees, in-store display incentives, cooperative advertising programs, new product introduction fees and coupons. The expenses associated with these programs are accounted for as reductions to the transaction price of products and are therefore deducted from sales to determine reported net sales. Trade promotions and sales incentive accruals are subject to significant management estimates and assumptions. The critical assumptions used in estimating the accruals for trade promotions and sales incentives include the Company’s estimate of expected levels of performance and redemption rates. The Company exercises judgment in developing these assumptions. These assumptions are based upon historical performance of the retailer or distributor customers with similar types of promotions adjusted for current trends. The Company regularly reviews and revises, when deemed necessary, estimates of costs to the Company for these promotions and incentives based on what has been incurred by the customers. The terms of most of the promotion and incentive arrangements do not exceed a year and therefore do not require highly uncertain long-term estimates. Settlement of these liabilities typically occurs in subsequent periods primarily through an authorization process for deductions taken by a customer from amounts otherwise due to the Company. Differences between estimated expense and actual promotion and incentive costs are recognized in earnings in the period such differences are determined. Actual expenses may differ if the level of redemption rates and performance were to vary from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Valuation of Long-lived Assets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periodically evaluates the carrying value of long-lived assets held and used in the business and with definite lives, when events and circumstances occur indicating that the carrying amount of the asset or its asset group may not be recoverable. An impairment test is performed when the estimated undiscounted cash flows associated with the asset or asset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group is less than its carrying value. If the undiscounted cash flows are less than the carrying value of the asset or its asset group, the Company performs test to fair value the asset or its asset group. A loss is recognized based on the amount, if any, by which the carrying value exceeds the estimated fair value of the asset or asset group.</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is not amortized but rather is tested at least annually for impairment on April 1 of each year, or more often if events or changes in circumstances indicate that more likely than not the carrying amount of the asset may not be recoverable.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elect not to perform the qualitative assessment for some or all reporting units and instead perform a quantitative impairment test. The estimate of the fair values of our reporting units are based on the best information available as of the date of the assessment. We base our fair value estimates on assumptions we believe to be reasonable, but which are unpredictable and inherently uncertain. We generally use a blended analysis of the Discounted Cash Flow (“DCF”) method income approach and the Guideline Public Company Method (“GPCM”) market approach.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DCF method estimates the value based on the present value of estimated future cash flows and economic benefits that are expected to be produced. Considerable management judgment is necessary to evaluate the impact of operating and external economic factors in estimating our future cash flows. The assumptions we use in our tests include projections of growth rates and profitability, our estimated working capital needs, as well as our weighted average cost of capital (“WACC”).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GPCM approach estimates the value of a reporting unit through analysis of recent sales of comparable assets or business entities by comparing it to comparable publicly-disclosed transactions in similar businesses. Estimates used in the guideline public company method include the identification of similar businesses with comparable business factors.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key assumptions used in our quantitative impairment tests are inherently uncertain. They require a high degree of estimation and are subject to change based on, among other factors, industry and geopolitical conditions, our ability to navigate changing macroeconomic conditions and trends and the timing and success of strategic initiatives. Changes in economic and operating conditions impacting the assumptions we made could result in goodwill impairment in future periods. If the carrying amount of a reporting unit exceeds its fair value, goodwill is considered impaired. A goodwill impairment loss is recognized for the amount that the carrying amount of a reporting unit exceeds its fair value, limited to the total amount of goodwill allocated to that reporting unit.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fiscal 2026, the Company recorded aggregated non-cash goodwill impairment charges of $38,495 within its North America segment and $154,724 within its International reportable segment as a result of goodwill impairment testing discussed below. Set forth is a table of each reporting unit’s goodwill carrying value as of, and impairment charges and other activity recorded during the periods presented:</w:t>
      </w:r>
    </w:p>
    <w:p>
      <w:pPr>
        <w:pStyle w:val="TextBody"/>
        <w:bidi w:val="0"/>
        <w:jc w:val="left"/>
        <w:rPr/>
      </w:pPr>
      <w:r>
        <w:rPr/>
        <w:t> </w:t>
      </w:r>
    </w:p>
    <w:tbl>
      <w:tblPr>
        <w:tblW w:w="9046" w:type="dxa"/>
        <w:jc w:val="left"/>
        <w:tblInd w:w="0" w:type="dxa"/>
        <w:tblLayout w:type="fixed"/>
        <w:tblCellMar>
          <w:top w:w="28" w:type="dxa"/>
          <w:left w:w="28" w:type="dxa"/>
          <w:bottom w:w="28" w:type="dxa"/>
          <w:right w:w="28" w:type="dxa"/>
        </w:tblCellMar>
      </w:tblPr>
      <w:tblGrid>
        <w:gridCol w:w="4916"/>
        <w:gridCol w:w="146"/>
        <w:gridCol w:w="196"/>
        <w:gridCol w:w="691"/>
        <w:gridCol w:w="166"/>
        <w:gridCol w:w="146"/>
        <w:gridCol w:w="196"/>
        <w:gridCol w:w="691"/>
        <w:gridCol w:w="166"/>
        <w:gridCol w:w="146"/>
        <w:gridCol w:w="291"/>
        <w:gridCol w:w="984"/>
        <w:gridCol w:w="311"/>
      </w:tblGrid>
      <w:tr>
        <w:trPr/>
        <w:tc>
          <w:tcPr>
            <w:tcW w:w="4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Reporting Unit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Europe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Divestiture during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2025, the Company had qualitatively or quantitatively tested all goodwill associated with its reporting units for impairment and, as previously disclosed, determined that the goodwill related to the U.S. and U.K. reporting units remained at risk for potential future impairment since such reporting units were impaired in fiscal 2025.</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Second quarter of fiscal 2026</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second quarter of fiscal 2026, as a result of a continued decline in the projected performance and cash flows of the U.S. reporting unit, and in connection with the pending agreement to sell its North American Snacks Business, the Company completed an interim quantitative impairment test of goodwill. As a result of a continued decline in net sales of Hartley’s</w:t>
      </w:r>
      <w:r>
        <w:rPr>
          <w:rFonts w:ascii="Times New Roman" w:hAnsi="Times New Roman"/>
          <w:color w:val="000000"/>
          <w:sz w:val="13"/>
        </w:rPr>
        <w:t xml:space="preserve">® </w:t>
      </w:r>
      <w:r>
        <w:rPr>
          <w:rFonts w:ascii="Times New Roman" w:hAnsi="Times New Roman"/>
          <w:color w:val="000000"/>
          <w:sz w:val="20"/>
        </w:rPr>
        <w:t>jelly, the Company conducted an interim quantitative impairment test for the Hartley’s</w:t>
      </w:r>
      <w:r>
        <w:rPr>
          <w:rFonts w:ascii="Times New Roman" w:hAnsi="Times New Roman"/>
          <w:color w:val="000000"/>
          <w:sz w:val="13"/>
        </w:rPr>
        <w:t xml:space="preserve">® </w:t>
      </w:r>
      <w:r>
        <w:rPr>
          <w:rFonts w:ascii="Times New Roman" w:hAnsi="Times New Roman"/>
          <w:color w:val="000000"/>
          <w:sz w:val="20"/>
        </w:rPr>
        <w:t>jelly indefinite-lived tradename and recognized impairment. Due to the recognition of an intangible asset impairment charge within the United Kingdom (“U.K.”) reporting unit in the International reportable segment and a continued decline in the projected performance and cash flows of the U.K. reporting unit, the Company also completed an interim quantitative impairment test of goodwill. Consequently, the Company recognized non-cash impairment charges of $38,495 and $81,413 to reduce the carrying values of the U.S. and U.K. reporting units goodwill, respectively. The fair value was estimated using the Discounted Cash Flow (“DCF”) method income approach as such method was determined to be more representative of future performance from a market participant point of view. The U.K. reporting unit’s impairment charge reflected the sales volume decline that the Company continued to experience. The discount rate in both quantitative tests also reflected an increase in the small stock premium related to a decline in the Company’s market capitalization. For the Western Europe and Ella’s Kitchen UK reporting units, the Company performed a qualitative evaluation to assess factors to determine whether it is more likely than not that the fair value of each reporting unit is less than its carrying amount, including goodwill. The Company concluded that the qualitatively tested reporting units’ estimated fair values exceeded their carrying amounts.</w:t>
      </w:r>
      <w:r>
        <w:rPr>
          <w:rFonts w:ascii="Times New Roman" w:hAnsi="Times New Roman"/>
          <w:color w:val="000000"/>
          <w:sz w:val="13"/>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Third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third quarter of fiscal 2026, as a result of a decline in the projected performance and expected future cash flows, the Company completed interim quantitative impairment tests of goodwill for all of its international reporting units: U.K., Western Europe and Ella’s Kitchen UK. For the U.S. reporting unit, the Company performed a qualitative evaluation to assess factors to determine whether it is more likely than not that the fair value of the reporting unit is less than its carrying amount, including goodwill, and concluded that the U.S. reporting unit’s estimated fair value exceeded its carrying amount. As of March 31, 2026, the U.K. reporting unit’s carrying amount exceeded its estimated fair value, resulting in the recognition of a non-cash impairment charge of $31,018 to reduce the carrying value of the U.K. reporting unit goodwill to nil. The fair values for the quantitatively tested reporting units were estimated using a blended approach of the Discounted Cash Flow (“DCF”) method income approach and the Guideline Public Company Methodology (“GPCM”) market approach. The U.K. reporting unit’s impairment charges reflected a decline in sales volume and further compression in Adjusted EBITDA that the Company continued to experience. The estimated fair values of the Western Europe and Ella’s Kitchen UK reporting units exceeded their carrying amounts. The discount rate in the quantitative tests for the Western Europe and Ella’s Kitchen UK reporting units also reflected an increase in the small stock premium related to a decline in the Company’s market capitalization. We disclosed that the goodwill related to the U.S. and Western Europe reporting units remained at risk of potential impairment if the fair values of these reporting units, and their associated assets, decreased in value due to the amount and timing of expected future cash flows, decreased customer demand for products, an inability to execute management’s business strategies, or general market conditions, such as economic downturns, and changes in interest rates, including discount rates.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Annual impairment testing as of April 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 Company’s annual impairment testing date is on April 1, 2026 (the first day of the fourth quarter of fiscal 2026), the previously aforementioned quantitative tests for Western Europe and Ella’s Kitchen UK reporting units were utilized for the annual impairment test given there were no significant changes to the risks of these reporting units between March 31, 2026 and April 1, 2026. For the U.S. reporting unit, the previously aforementioned qualitative assessment for the U.S. reporting unit was utilized for the annual impairment test given there were no significant changes to the risks of these reporting units between March 31, 2026 and April 1, 2026.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Fourth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as a result of a continued decline in the projected performance and cash flows of the Western Europe reporting unit, and in connection with the pending agreement to sell its International Business, the Company completed an interim quantitative impairment test of goodwill. The Company also performed a qualitative assessment of its U.S. and Ella’s Kitchen U.K. reporting units and concluded that the estimated fair values of such reporting units exceeded their respective carrying amounts. As of June 30, 2026, the Western Europe reporting unit’s carrying amount exceeded its estimated fair value of $89,112, resulting in the recognition of a non-cash impairment charge of $42,293 to reduce the carrying value of the Western Europe reporting unit goodwill to nil. The fair value was estimated using the DCF method income approach as such method was determined to be more representative of future performance from a market participant point of view. The Western Europe reporting unit’s impairment charges primarily reflected a decline in forecasted Adjusted EBITDA. Furthermore, given the continued known decline in the Company’s Western Europe forecasts, the discount rate utilized to measure risk in the DCF methodology increased.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these impairment charges, the remaining goodwill at the U.S. reporting unit was $216,744 as of June 30, 2026. There was no remaining goodwill at the U.K. and Western Europe reporting units as of June 30, 2026. The goodwill related to the U.S. reporting unit is at risk of potential impairment if the fair value of the reporting unit, and its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qualitatively tested reporting units (U.S. and Ella’s Kitchen UK), the Company performed a qualitative evaluation as of June 30, 2026 to assess factors to determine whether it is more likely than not that the fair value of its reporting unit is less than its carrying amount, including goodwill. The Company concluded that the qualitatively tested reporting units’ estimated fair values exceeded their carrying amounts.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performed a market capitalization reconciliation with the expectation that the market capitalization should reconcile within a reasonable range to the sum of the fair values of the individual reporting units. Such reconciliation often includes both qualitative and quantitative assessments as is the case with the Company’s reporting units as of June 30, 2026. When an entity performs a qualitative assessment for some reporting units but proceeds to a quantitative assessment for others, reconciling the overall market capitalization to the aggregate fair value of reporting units can be challenging and requires significant judgment. There is no requirement to determine the fair value of reporting units for which only a qualitative impairment test is performed. Therefore, when performing an overall comparison of the sum of the fair values of the individual reporting units to the market capitalization, we included the current year fair value for reporting units for which a quantitative test was performed. Upon performing the market capitalization reconciliation, we noted a reasonable reconciliation between the sum of the reporting unit fair values and the Company’s market capitalization once adjusted for the impact of corporate costs not allocated to the reporting units.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Indefinite-Lived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Indefinite-lived intangible assets consist primarily of acquired tradenames and trademarks. Indefinite-lived intangible assets are evaluated on an annual basis in conjunction with the Company’s evaluation of goodwill, or on an interim basis if and when events or circumstances change that would more likely than not reduce the fair value of any of its indefinite-life intangible assets below their carrying value. In assessing fair value, the Company utilizes a “relief from royalty payments” methodology. This approach involves two steps: (i) estimating the royalty rates for each trademark and (ii) applying these royalty rates to a projected net sales stream and discounting the resulting cash flows to determine fair value. If the carrying value of the indefinite-lived intangible assets exceeds the fair value of the assets, the carrying value is written down to fair value in the period identified.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performs an indefinite-lived asset impairment test annually and more frequently if events or changes in circumstances indicate that it is more likely than not that the asset is impaired. In accordance with ASC 350, we may first perform a qualitative assessment to determine whether it is necessary to perform a quantitative impairment test. If an entity elects to perform a qualitative assessment, it first shall assess qualitative factors to determine whether it is more likely than not (that is, a likelihood of more than 50 percent) that an indefinite-lived intangible asset is impaired. One procedure we perform during interim periods to determine whether indicators of impairment are present includes a comparison of net sales used in the most recent quantitative impairment tests to forecasted net sales for the same fiscal year (or balance of the fiscal year when performing an interim review) in order to identify brands for which the current fiscal year net sales are expected to be lower than the forecasted fiscal year net sales per the latest quantitative test. The performance of these brands is then reviewed by management to determine if the shortfall to forecasted net sales was related to events and circumstances that are expected to be temporary in nature, or if it was caused by a more pervasive issue that could serve as in impairment indicator (e.g., loss of key customers, discontinuance of certain product categories within a brand, etc.). We use this risk-based approach to determine which brands we would quantitatively test for impairment, whether as part of fiscal year annual impairment testing or an interim period test. </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2026, as a result of a continued decline in actual and projected net sales driven by challenges related to regaining Earth’s Best</w:t>
      </w:r>
      <w:r>
        <w:rPr>
          <w:rFonts w:ascii="Times New Roman" w:hAnsi="Times New Roman"/>
          <w:color w:val="000000"/>
          <w:sz w:val="13"/>
        </w:rPr>
        <w:t xml:space="preserve">® </w:t>
      </w:r>
      <w:r>
        <w:rPr>
          <w:rFonts w:ascii="Times New Roman" w:hAnsi="Times New Roman"/>
          <w:color w:val="000000"/>
          <w:sz w:val="20"/>
        </w:rPr>
        <w:t>formula distribution, the Company conducted an interim quantitative impairment test for its Earth’s Best</w:t>
      </w:r>
      <w:r>
        <w:rPr>
          <w:rFonts w:ascii="Times New Roman" w:hAnsi="Times New Roman"/>
          <w:color w:val="000000"/>
          <w:sz w:val="13"/>
        </w:rPr>
        <w:t xml:space="preserve">® </w:t>
      </w:r>
      <w:r>
        <w:rPr>
          <w:rFonts w:ascii="Times New Roman" w:hAnsi="Times New Roman"/>
          <w:color w:val="000000"/>
          <w:sz w:val="20"/>
        </w:rPr>
        <w:t>Organic indefinite-lived tradename in its North America reportable segment. The Company concluded that the indefinite-lived intangible asset carrying amount exceeded its estimated fair value and recorded a non-cash impairment charge of $2,038 during the three months ended March 31, 2026, which was recorded within long-lived asset and intangibles impairment on the consolidated statement of operations. This tradename was subsequently reclassified to definite-lived and ascribed a useful life of 10 years.</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2026, as a result of a decline in projected net sales driven by shifting consumer behavior towards private label soup, the Company conducted an interim quantitative impairment test for its soup indefinite-lived tradenames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The Company concluded that the estimated fair value exceeded the carrying amount by 8.0%. The soup indefinite-lived intangible assets are part of the International reportable segment and had a remaining aggregate carrying value of $22,702 as of June 30, 2026.</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fiscal year ended June 30, 2026, the Company conducted an interim quantitative impairment test for its Ella’s Kitchen</w:t>
      </w:r>
      <w:r>
        <w:rPr>
          <w:rFonts w:ascii="Times New Roman" w:hAnsi="Times New Roman"/>
          <w:color w:val="000000"/>
          <w:sz w:val="13"/>
        </w:rPr>
        <w:t xml:space="preserve">® </w:t>
      </w:r>
      <w:r>
        <w:rPr>
          <w:rFonts w:ascii="Times New Roman" w:hAnsi="Times New Roman"/>
          <w:color w:val="000000"/>
          <w:sz w:val="20"/>
        </w:rPr>
        <w:t>baby and kids foods and Hartley’s</w:t>
      </w:r>
      <w:r>
        <w:rPr>
          <w:rFonts w:ascii="Times New Roman" w:hAnsi="Times New Roman"/>
          <w:color w:val="000000"/>
          <w:sz w:val="13"/>
        </w:rPr>
        <w:t xml:space="preserve">® </w:t>
      </w:r>
      <w:r>
        <w:rPr>
          <w:rFonts w:ascii="Times New Roman" w:hAnsi="Times New Roman"/>
          <w:color w:val="000000"/>
          <w:sz w:val="20"/>
        </w:rPr>
        <w:t>jelly tradenames and recorded a non-cash impairment charge of $10,432 for Hartley’s</w:t>
      </w:r>
      <w:r>
        <w:rPr>
          <w:rFonts w:ascii="Times New Roman" w:hAnsi="Times New Roman"/>
          <w:color w:val="000000"/>
          <w:sz w:val="13"/>
        </w:rPr>
        <w:t xml:space="preserve">® </w:t>
      </w:r>
      <w:r>
        <w:rPr>
          <w:rFonts w:ascii="Times New Roman" w:hAnsi="Times New Roman"/>
          <w:color w:val="000000"/>
          <w:sz w:val="20"/>
        </w:rPr>
        <w:t>jelly indefinite-lived tradename. The estimated fair value of the Ella’s Kitchen® tradename exceeded its carrying amount by 16.5%. These tradenames were subsequently reclassified to definite-lived and ascribed a useful life of 10 years. Such tradenames are part of the International reportable segment and have remaining carrying values of $33,528 and $36,553, respectively, as of June 30, 2026.</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Effective April 1, 2026, as part of its annual impairment testing and in connection with the strategic review, the Company elected to change the useful life of its remaining intangible assets from indefinite to definite. See Note 9, </w:t>
      </w:r>
      <w:r>
        <w:rPr>
          <w:rFonts w:ascii="Times New Roman" w:hAnsi="Times New Roman"/>
          <w:i/>
          <w:color w:val="000000"/>
          <w:sz w:val="20"/>
        </w:rPr>
        <w:t>Goodwill and Other Intangible Assets</w:t>
      </w:r>
      <w:r>
        <w:rPr>
          <w:rFonts w:ascii="Times New Roman" w:hAnsi="Times New Roman"/>
          <w:color w:val="000000"/>
          <w:sz w:val="20"/>
        </w:rPr>
        <w:t xml:space="preserve"> in the Notes to the Consolidated Financial Statements included in Item 8 of this Form 10-K. </w:t>
      </w:r>
    </w:p>
    <w:p>
      <w:pPr>
        <w:pStyle w:val="TextBody"/>
        <w:bidi w:val="0"/>
        <w:spacing w:before="200" w:after="283"/>
        <w:jc w:val="both"/>
        <w:rPr>
          <w:rFonts w:ascii="Times New Roman" w:hAnsi="Times New Roman"/>
          <w:sz w:val="20"/>
        </w:rPr>
      </w:pPr>
      <w:r>
        <w:rPr>
          <w:rFonts w:ascii="Times New Roman" w:hAnsi="Times New Roman"/>
          <w:i/>
          <w:color w:val="000000"/>
          <w:sz w:val="20"/>
        </w:rPr>
        <w:t>Valuation Allowances for Deferred Tax Assets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tax assets arise when we recognize expenses in our financial statements that will be allowed as income tax deductions in future periods. Deferred tax assets also include unused tax net operating losses and tax credits that we are allowed to carry forward to future years. Accounting rules permit us to carry deferred tax assets on the balance sheet at full value after consideration of the four sources of income, namely taxable income in prior year carryback years, the future reversals of existing taxable temporary differences, tax planning strategies, and future taxable income exclusive of reversing temporary differences, to determine if the deferred tax assets are realizable. A valuation allowance must be recorded against a deferred tax asset if they are not realizable after considering the four sources of income. Our determination of our valuation allowances is based upon a number of assumptions, judgments and estimates, including the reversal pattern of existing temporary differences and forecasted earnings.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See Note 2, </w:t>
      </w:r>
      <w:r>
        <w:rPr>
          <w:rFonts w:ascii="Times New Roman" w:hAnsi="Times New Roman"/>
          <w:i/>
          <w:color w:val="000000"/>
          <w:sz w:val="20"/>
        </w:rPr>
        <w:t>Summary of Significant Accounting Policies and Practices</w:t>
      </w:r>
      <w:r>
        <w:rPr>
          <w:rFonts w:ascii="Times New Roman" w:hAnsi="Times New Roman"/>
          <w:color w:val="000000"/>
          <w:sz w:val="20"/>
        </w:rPr>
        <w:t xml:space="preserve">, in the Notes to the Consolidated Financial Statements included in Item 8 of this Form 10-K for information regarding recent accounting pronouncements.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Seasonality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our product lines have seasonal fluctuations. Hot tea and soup sales are stronger in colder months. As such, our results of operations and our cash flows for any particular quarter are not indicative of the results we expect for the full year, and our historical seasonality may not be indicative of future quarterly results of operations. Historically, net sales and diluted earnings per share in the first fiscal quarter have typically been the lowest of our four quarters.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5" w:name="item_7a_quantitative_and_qualitative"/>
      <w:bookmarkEnd w:id="15"/>
      <w:r>
        <w:rPr>
          <w:rFonts w:ascii="Times New Roman" w:hAnsi="Times New Roman"/>
          <w:b/>
          <w:color w:val="000000"/>
          <w:sz w:val="20"/>
        </w:rPr>
        <w:t>Item 7A.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6" w:name="item_8_financial_statements"/>
      <w:bookmarkEnd w:id="16"/>
      <w:r>
        <w:rPr>
          <w:rFonts w:ascii="Times New Roman" w:hAnsi="Times New Roman"/>
          <w:b/>
          <w:color w:val="000000"/>
          <w:sz w:val="20"/>
        </w:rPr>
        <w:t>Item 8. Financial Statements and Supplementary Data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consolidated financial statements of The Hain Celestial Group, Inc. and subsidiaries are included in Item 8: </w:t>
      </w:r>
    </w:p>
    <w:p>
      <w:pPr>
        <w:pStyle w:val="TextBody"/>
        <w:bidi w:val="0"/>
        <w:jc w:val="both"/>
        <w:rPr/>
      </w:pPr>
      <w:r>
        <w:rPr/>
        <w:t> </w:t>
      </w:r>
    </w:p>
    <w:tbl>
      <w:tblPr>
        <w:tblW w:w="8293" w:type="dxa"/>
        <w:jc w:val="left"/>
        <w:tblInd w:w="0" w:type="dxa"/>
        <w:tblLayout w:type="fixed"/>
        <w:tblCellMar>
          <w:top w:w="28" w:type="dxa"/>
          <w:left w:w="28" w:type="dxa"/>
          <w:bottom w:w="28" w:type="dxa"/>
          <w:right w:w="28" w:type="dxa"/>
        </w:tblCellMar>
      </w:tblPr>
      <w:tblGrid>
        <w:gridCol w:w="7786"/>
        <w:gridCol w:w="146"/>
        <w:gridCol w:w="361"/>
      </w:tblGrid>
      <w:tr>
        <w:trPr/>
        <w:tc>
          <w:tcPr>
            <w:tcW w:w="7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42)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 June 30, 2026 and 2025</w:t>
              </w:r>
            </w:hyperlink>
            <w:hyperlink w:anchor="consolidated_balance_shee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 - Fiscal Years ended June 30, 2026 and 2025</w:t>
              </w:r>
            </w:hyperlink>
            <w:hyperlink w:anchor="consolidated_statements_of_operation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Consolidated Statements of Comprehensive Loss - Fiscal Years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nsolidated_statement_of_sh_equity">
              <w:r>
                <w:rPr>
                  <w:rStyle w:val="InternetLink"/>
                  <w:rFonts w:ascii="Times New Roman" w:hAnsi="Times New Roman"/>
                  <w:color w:val="0000FF"/>
                  <w:sz w:val="20"/>
                  <w:u w:val="single"/>
                </w:rPr>
                <w:t>Consolidated Statements of Stockholders’ Equity - Fiscal Years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 - Fiscal Years ended June 30,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7786"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Consolidated Financial Statements</w:t>
              </w:r>
            </w:hyperlink>
            <w:hyperlink w:anchor="notes_to_financial_statemen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consolidated financial statement schedule of The Hain Celestial Group, Inc. and subsidiaries is included in Item 15(a):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Schedule II - Valuation and qualifying accounts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All other schedules for which provision is made in the applicable accounting regulation of the SEC are not required under the related instructions or are inapplicable and therefore have been omitted.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report_of_independent_registered_public"/>
      <w:bookmarkEnd w:id="17"/>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Stockholders and the Board of Directors of The Hain Celestial Group, Inc.</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consolidated balance sheets of The Hain Celestial Group, Inc. and subsidiaries (the Company) as of June 30, 2026 and 2025, the related consolidated statements of operations, comprehensive loss, stockholders’ equity and cash flows for each of the two years in the period ended June 30, 2026,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June 30, 2026 and 2025, and the results of its operations and its cash flows for each of the two years in the period ended June 30, 2026, in conformity with U.S.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Company's internal control over financial reporting as of June 30, 2026, based on criteria established in Internal Control—Integrated Framework issued by the Committee of Sponsoring Organizations of the Treadway Commission (2013 framework), and our report dated September 14, 2026 expressed an unqualified opinion thereon.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Company's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As discussed in Note 11 to the financial statements, the Company has debt obligations of approximately $558.0 million that mature within one year of the balance sheet date and currently lacks sufficient liquidity to satisfy those obligations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25"/>
        <w:gridCol w:w="146"/>
        <w:gridCol w:w="8634"/>
      </w:tblGrid>
      <w:tr>
        <w:trPr/>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34" w:type="dxa"/>
            <w:tcBorders/>
            <w:vAlign w:val="center"/>
          </w:tcPr>
          <w:p>
            <w:pPr>
              <w:pStyle w:val="TableContents"/>
              <w:bidi w:val="0"/>
              <w:spacing w:before="0" w:after="283"/>
              <w:jc w:val="left"/>
              <w:rPr>
                <w:sz w:val="4"/>
                <w:szCs w:val="4"/>
              </w:rPr>
            </w:pPr>
            <w:r>
              <w:rPr>
                <w:sz w:val="4"/>
                <w:szCs w:val="4"/>
              </w:rPr>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Estimation of the Trade and Promotional Incentive Accrual</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For the year ended June 30, 2026, the Company’s reported net sales were $1.4 billion. As described in Note 2 of the consolidated financial statements, the Company offers certain customers trade and promotional incentive programs, which results in variable consideration in the Company’s contracts with its customers. The estimated costs of these programs are recorded as a reduction to revenue at the time a product is sold to the customer. The measurement of estimates of variable consideration specifically for the trade and promotional incentive accrual recorded at period end involves the use of judgment related to estimates of expected levels of performance and redemption rates.</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Auditing the estimates of variable consideration for the trade and promotional incentive accrual is complex because the revenue recognized is determined based on significant management estimates. In particular, estimates are made for expected levels of performance and redemption rates. These estimates are based on historical performance of customers, types and levels of promotions offered, and claims received from customers. Changes in these assumptions can have a significant impact on the amount of the revenue recognized.</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1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4" w:type="dxa"/>
            <w:tcBorders/>
            <w:shd w:fill="FFFFFF" w:val="clear"/>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We obtained an understanding, evaluated the design, and tested the operating effectiveness of controls over the Company’s estimation of the trade and promotional incentive accrual process. For example, we tested controls over management’s review of the significant assumptions described above, management’s validation of the completeness and accuracy of the data used in making their estimates, and other controls such as their retrospective review analysis of prior period estimates.</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To test the estimates of variable consideration for the trade and promotional incentive accrual, we performed audit procedures that included, among others, evaluating the assumptions used by the Company in establishing the estimates of the trade and promotional incentive accruals by comparing them to historical trends and third-party evidence as well as performing transactional testing for a sample of customer claim activity. We also tested the results of the Company’s retrospective review analyses performed on the prior year trade and promotional incentive accrual.</w:t>
            </w:r>
          </w:p>
        </w:tc>
      </w:tr>
    </w:tbl>
    <w:p>
      <w:pPr>
        <w:pStyle w:val="TextBody"/>
        <w:bidi w:val="0"/>
        <w:spacing w:before="0" w:after="16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96"/>
        <w:gridCol w:w="146"/>
        <w:gridCol w:w="8763"/>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63"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Valuation of the U.S., United Kingdom, and Western Europe Reporting Units</w:t>
            </w:r>
            <w:r>
              <w:rPr>
                <w:rFonts w:ascii="Times New Roman" w:hAnsi="Times New Roman"/>
                <w:color w:val="000000"/>
                <w:sz w:val="20"/>
              </w:rPr>
              <w:t xml:space="preserve">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6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76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 xml:space="preserve">At June 30, 2026, the goodwill assigned to the Company’s U.S. reporting unit had a carrying value of approximately $216.7 million. The United Kingdom and Western Europe reporting units had no remaining goodwill. As discussed in Note 2 of the consolidated financial statements, the Company tests goodwill for impairment at the reporting unit level at least annually, or when circumstances indicate that the carrying amount of the asset may not be recoverable. If the carrying value of a reporting unit exceeds its fair value, the Company would then compare the carrying value of the goodwill to its implied fair value in order to determine the amount of the impairment, if any. </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Auditing the Company’s impairment tests for the goodwill in the U.S., United Kingdom, and Western Europe reporting units is complex due to the significant judgments required to estimate the fair value of the respective reporting units. The Company estimated the fair value of the reporting units using a combination of the discounted cash flow method, a form of the income approach, and the guideline public company method, a form of the market approach. The discounted cash flow method is largely dependent upon estimates made by management with respect to significant assumptions, such as projections of future revenue, future earnings before interest, tax, depreciation and amortization, the discount rate, and terminal growth rate, which are affected by expectations about future market or economic conditions.</w:t>
            </w:r>
          </w:p>
        </w:tc>
      </w:tr>
      <w:tr>
        <w:trPr/>
        <w:tc>
          <w:tcPr>
            <w:tcW w:w="12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763"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763"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 xml:space="preserve">We obtained an understanding, evaluated the design, and tested the operating effectiveness of controls over the Company’s goodwill impairment evaluation process. For example, we tested controls over management’s review of the significant assumptions used in the fair value calculations as well as management’s review of the data used in the valuation of the respective reporting units. </w:t>
            </w:r>
          </w:p>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To test the estimated fair value of the U.S., United Kingdom, and Western Europe reporting units, we performed audit procedures that included, among others, testing the significant assumptions and testing the completeness and accuracy of the underlying data used by the Company in its analyses. We compared the significant assumptions used by management to current industry and economic trends, and to the historical results of the reporting unit, while also considering changes to the Company’s business model, customer base and product mix. We assessed the historical accuracy of management’s estimates and significant assumptions, such as projections of revenue growth rates and profitability by comparing management’s past projections to actual performance. We involved valuation specialists to assist in evaluating the Company’s methodology and significant assumptions, including the discount rate and terminal growth rate. We also performed sensitivity analyses to evaluate the impact that changes in the significant assumptions would have on the fair value of each of the reporting units.</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Ernst &amp; Young LLP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1994. </w:t>
      </w:r>
    </w:p>
    <w:p>
      <w:pPr>
        <w:pStyle w:val="TextBody"/>
        <w:bidi w:val="0"/>
        <w:jc w:val="both"/>
        <w:rPr>
          <w:rFonts w:ascii="Times New Roman" w:hAnsi="Times New Roman"/>
          <w:color w:val="000000"/>
          <w:sz w:val="20"/>
        </w:rPr>
      </w:pPr>
      <w:r>
        <w:rPr>
          <w:rFonts w:ascii="Times New Roman" w:hAnsi="Times New Roman"/>
          <w:color w:val="000000"/>
          <w:sz w:val="20"/>
        </w:rPr>
        <w:t>Jericho, New York</w:t>
      </w:r>
    </w:p>
    <w:p>
      <w:pPr>
        <w:pStyle w:val="TextBody"/>
        <w:bidi w:val="0"/>
        <w:jc w:val="both"/>
        <w:rPr>
          <w:rFonts w:ascii="Times New Roman" w:hAnsi="Times New Roman"/>
          <w:color w:val="000000"/>
          <w:sz w:val="20"/>
        </w:rPr>
      </w:pPr>
      <w:r>
        <w:rPr>
          <w:rFonts w:ascii="Times New Roman" w:hAnsi="Times New Roman"/>
          <w:color w:val="000000"/>
          <w:sz w:val="20"/>
        </w:rPr>
        <w:t>September 14, 2026</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b/>
          <w:color w:val="000000"/>
          <w:sz w:val="20"/>
        </w:rPr>
      </w:pPr>
      <w:bookmarkStart w:id="18" w:name="consolidated_balance_sheets"/>
      <w:bookmarkEnd w:id="18"/>
      <w:r>
        <w:rPr>
          <w:rFonts w:ascii="Times New Roman" w:hAnsi="Times New Roman"/>
          <w:b/>
          <w:color w:val="000000"/>
          <w:sz w:val="20"/>
        </w:rPr>
        <w:t>CONSOLIDATED BALANCE SHEETS</w:t>
      </w:r>
    </w:p>
    <w:p>
      <w:pPr>
        <w:pStyle w:val="TextBody"/>
        <w:bidi w:val="0"/>
        <w:jc w:val="left"/>
        <w:rPr>
          <w:rFonts w:ascii="Times New Roman" w:hAnsi="Times New Roman"/>
          <w:sz w:val="20"/>
        </w:rPr>
      </w:pPr>
      <w:r>
        <w:rPr>
          <w:rFonts w:ascii="Times New Roman" w:hAnsi="Times New Roman"/>
          <w:b/>
          <w:color w:val="000000"/>
          <w:sz w:val="20"/>
        </w:rPr>
        <w:t>JUNE 30, 2026 AND JUNE 30, 2025</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 thousands, except par values)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less allowance for doubtful accounts of $3,373 and $1,337,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500,961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 and other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1,603,278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related to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 $.01 par value, authorized 5,000 shares; issued and outstanding: 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$.01 par value, authorized 150,000 shares; issued: 113,469 and 112,491 shares, respectively; outstanding: 91,003 and 90,284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1,238,402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(deficit)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1,205,152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Treasury stock, at cost, 22,466 and 22,207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1,603,278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sz w:val="20"/>
        </w:rPr>
      </w:pPr>
      <w:bookmarkStart w:id="19" w:name="consolidated_statements_of_operations"/>
      <w:bookmarkEnd w:id="19"/>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FISCAL YEARS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9349" w:type="dxa"/>
        <w:jc w:val="left"/>
        <w:tblInd w:w="0" w:type="dxa"/>
        <w:tblLayout w:type="fixed"/>
        <w:tblCellMar>
          <w:top w:w="28" w:type="dxa"/>
          <w:left w:w="28" w:type="dxa"/>
          <w:bottom w:w="28" w:type="dxa"/>
          <w:right w:w="28" w:type="dxa"/>
        </w:tblCellMar>
      </w:tblPr>
      <w:tblGrid>
        <w:gridCol w:w="6196"/>
        <w:gridCol w:w="146"/>
        <w:gridCol w:w="211"/>
        <w:gridCol w:w="931"/>
        <w:gridCol w:w="166"/>
        <w:gridCol w:w="146"/>
        <w:gridCol w:w="211"/>
        <w:gridCol w:w="931"/>
        <w:gridCol w:w="41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334,058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insurance claim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51,253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 and equity in net loss of equity-method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the calculation of net loss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both"/>
        <w:rPr>
          <w:rFonts w:ascii="Times New Roman" w:hAnsi="Times New Roman"/>
          <w:b/>
          <w:color w:val="000000"/>
          <w:sz w:val="20"/>
        </w:rPr>
      </w:pPr>
      <w:bookmarkStart w:id="20" w:name="consolidated_statements_of_comp_loss"/>
      <w:bookmarkEnd w:id="20"/>
      <w:r>
        <w:rPr>
          <w:rFonts w:ascii="Times New Roman" w:hAnsi="Times New Roman"/>
          <w:b/>
          <w:color w:val="000000"/>
          <w:sz w:val="20"/>
        </w:rPr>
        <w:t>CONSOLIDATED STATEMENTS OF COMPREHENSIVE LOSS</w:t>
      </w:r>
    </w:p>
    <w:p>
      <w:pPr>
        <w:pStyle w:val="TextBody"/>
        <w:bidi w:val="0"/>
        <w:jc w:val="both"/>
        <w:rPr>
          <w:rFonts w:ascii="Times New Roman" w:hAnsi="Times New Roman"/>
          <w:b/>
          <w:color w:val="000000"/>
          <w:sz w:val="20"/>
        </w:rPr>
      </w:pPr>
      <w:r>
        <w:rPr>
          <w:rFonts w:ascii="Times New Roman" w:hAnsi="Times New Roman"/>
          <w:b/>
          <w:color w:val="000000"/>
          <w:sz w:val="20"/>
        </w:rPr>
        <w:t>FISCAL YEARS ENDED JUNE 30, 2026 AND 2025</w:t>
      </w:r>
    </w:p>
    <w:p>
      <w:pPr>
        <w:pStyle w:val="TextBody"/>
        <w:bidi w:val="0"/>
        <w:jc w:val="both"/>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14"/>
        <w:gridCol w:w="146"/>
        <w:gridCol w:w="181"/>
        <w:gridCol w:w="556"/>
        <w:gridCol w:w="151"/>
        <w:gridCol w:w="146"/>
        <w:gridCol w:w="211"/>
        <w:gridCol w:w="441"/>
        <w:gridCol w:w="151"/>
        <w:gridCol w:w="146"/>
        <w:gridCol w:w="181"/>
        <w:gridCol w:w="631"/>
        <w:gridCol w:w="151"/>
        <w:gridCol w:w="146"/>
        <w:gridCol w:w="181"/>
        <w:gridCol w:w="556"/>
        <w:gridCol w:w="151"/>
        <w:gridCol w:w="146"/>
        <w:gridCol w:w="181"/>
        <w:gridCol w:w="436"/>
        <w:gridCol w:w="146"/>
        <w:gridCol w:w="146"/>
        <w:gridCol w:w="181"/>
        <w:gridCol w:w="631"/>
        <w:gridCol w:w="298"/>
      </w:tblGrid>
      <w:tr>
        <w:trPr/>
        <w:tc>
          <w:tcPr>
            <w:tcW w:w="39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 Year Ended 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Fiscal Year Ended June 30, 2025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Pretax </w:t>
              <w:b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Tax </w:t>
              <w:br/>
              <w:t>benefit</w:t>
              <w:br/>
              <w:t>(expense)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tax</w:t>
              <w:b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Pretax </w:t>
              <w:b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Tax</w:t>
              <w:b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After tax</w:t>
              <w:br/>
              <w:t>amount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(530,841</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Foreign currency translation adjustments before 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71,324</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Change in deferred losses on cash flow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(9,276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9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Change in deferred losses on fair value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Change in deferred gains (losses) on net investment hedging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(10,917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(8,207</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9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(20,080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(20,410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56,192</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(325,333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(474,649</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HE HAIN CELESTIAL GROUP, INC. AND SUBSIDIARIES</w:t>
      </w:r>
    </w:p>
    <w:p>
      <w:pPr>
        <w:pStyle w:val="TextBody"/>
        <w:bidi w:val="0"/>
        <w:jc w:val="both"/>
        <w:rPr>
          <w:rFonts w:ascii="Times New Roman" w:hAnsi="Times New Roman"/>
          <w:b/>
          <w:color w:val="000000"/>
          <w:sz w:val="20"/>
        </w:rPr>
      </w:pPr>
      <w:bookmarkStart w:id="21" w:name="consolidated_statement_of_sh_equity"/>
      <w:bookmarkEnd w:id="21"/>
      <w:r>
        <w:rPr>
          <w:rFonts w:ascii="Times New Roman" w:hAnsi="Times New Roman"/>
          <w:b/>
          <w:color w:val="000000"/>
          <w:sz w:val="20"/>
        </w:rPr>
        <w:t>CONSOLIDATED STATEMENT OF STOCKHOLDERS’ EQUITY</w:t>
      </w:r>
    </w:p>
    <w:p>
      <w:pPr>
        <w:pStyle w:val="TextBody"/>
        <w:bidi w:val="0"/>
        <w:jc w:val="both"/>
        <w:rPr>
          <w:rFonts w:ascii="Times New Roman" w:hAnsi="Times New Roman"/>
          <w:b/>
          <w:color w:val="000000"/>
          <w:sz w:val="20"/>
        </w:rPr>
      </w:pPr>
      <w:r>
        <w:rPr>
          <w:rFonts w:ascii="Times New Roman" w:hAnsi="Times New Roman"/>
          <w:b/>
          <w:color w:val="000000"/>
          <w:sz w:val="20"/>
        </w:rPr>
        <w:t>FISCAL YEARS ENDED JUNE 30, 2026 AND 2025</w:t>
      </w:r>
    </w:p>
    <w:p>
      <w:pPr>
        <w:pStyle w:val="TextBody"/>
        <w:bidi w:val="0"/>
        <w:jc w:val="both"/>
        <w:rPr>
          <w:rFonts w:ascii="Times New Roman" w:hAnsi="Times New Roman"/>
          <w:color w:val="000000"/>
          <w:sz w:val="20"/>
        </w:rPr>
      </w:pPr>
      <w:r>
        <w:rPr>
          <w:rFonts w:ascii="Times New Roman" w:hAnsi="Times New Roman"/>
          <w:color w:val="000000"/>
          <w:sz w:val="20"/>
        </w:rPr>
        <w:t>(In thousands, except par values)</w:t>
      </w:r>
    </w:p>
    <w:p>
      <w:pPr>
        <w:pStyle w:val="TextBody"/>
        <w:bidi w:val="0"/>
        <w:jc w:val="both"/>
        <w:rPr/>
      </w:pPr>
      <w:r>
        <w:rPr/>
        <w:t> </w:t>
      </w:r>
    </w:p>
    <w:tbl>
      <w:tblPr>
        <w:tblW w:w="10827" w:type="dxa"/>
        <w:jc w:val="left"/>
        <w:tblInd w:w="0" w:type="dxa"/>
        <w:tblLayout w:type="fixed"/>
        <w:tblCellMar>
          <w:top w:w="28" w:type="dxa"/>
          <w:left w:w="28" w:type="dxa"/>
          <w:bottom w:w="28" w:type="dxa"/>
          <w:right w:w="28" w:type="dxa"/>
        </w:tblCellMar>
      </w:tblPr>
      <w:tblGrid>
        <w:gridCol w:w="1171"/>
        <w:gridCol w:w="146"/>
        <w:gridCol w:w="146"/>
        <w:gridCol w:w="691"/>
        <w:gridCol w:w="146"/>
        <w:gridCol w:w="146"/>
        <w:gridCol w:w="196"/>
        <w:gridCol w:w="511"/>
        <w:gridCol w:w="146"/>
        <w:gridCol w:w="146"/>
        <w:gridCol w:w="196"/>
        <w:gridCol w:w="826"/>
        <w:gridCol w:w="166"/>
        <w:gridCol w:w="146"/>
        <w:gridCol w:w="196"/>
        <w:gridCol w:w="751"/>
        <w:gridCol w:w="166"/>
        <w:gridCol w:w="146"/>
        <w:gridCol w:w="146"/>
        <w:gridCol w:w="601"/>
        <w:gridCol w:w="146"/>
        <w:gridCol w:w="146"/>
        <w:gridCol w:w="196"/>
        <w:gridCol w:w="751"/>
        <w:gridCol w:w="166"/>
        <w:gridCol w:w="146"/>
        <w:gridCol w:w="211"/>
        <w:gridCol w:w="810"/>
        <w:gridCol w:w="166"/>
        <w:gridCol w:w="146"/>
        <w:gridCol w:w="196"/>
        <w:gridCol w:w="751"/>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at $0.01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Earnings</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1,230,253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942,913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(530,841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475,005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pursuant to stock-based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1,243,863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19"/>
        </w:rPr>
      </w:pPr>
      <w:r>
        <w:rPr>
          <w:rFonts w:ascii="Times New Roman" w:hAnsi="Times New Roman"/>
          <w:b/>
          <w:color w:val="000000"/>
          <w:sz w:val="19"/>
        </w:rPr>
        <w:t>THE HAIN CELESTIAL GROUP, INC. AND SUBSIDIARIES</w:t>
      </w:r>
      <w:r>
        <w:rPr>
          <w:rFonts w:ascii="Times New Roman" w:hAnsi="Times New Roman"/>
          <w:color w:val="000000"/>
          <w:sz w:val="19"/>
        </w:rPr>
        <w:t xml:space="preserve"> </w:t>
      </w:r>
    </w:p>
    <w:p>
      <w:pPr>
        <w:pStyle w:val="TextBody"/>
        <w:bidi w:val="0"/>
        <w:jc w:val="left"/>
        <w:rPr>
          <w:rFonts w:ascii="Times New Roman" w:hAnsi="Times New Roman"/>
          <w:b/>
          <w:color w:val="000000"/>
          <w:sz w:val="19"/>
        </w:rPr>
      </w:pPr>
      <w:bookmarkStart w:id="22" w:name="consolidated_statements_of_cash_flows"/>
      <w:bookmarkEnd w:id="22"/>
      <w:r>
        <w:rPr>
          <w:rFonts w:ascii="Times New Roman" w:hAnsi="Times New Roman"/>
          <w:b/>
          <w:color w:val="000000"/>
          <w:sz w:val="19"/>
        </w:rPr>
        <w:t>CONSOLIDATED STATEMENTS OF CASH FLOWS</w:t>
      </w:r>
    </w:p>
    <w:p>
      <w:pPr>
        <w:pStyle w:val="TextBody"/>
        <w:bidi w:val="0"/>
        <w:jc w:val="left"/>
        <w:rPr>
          <w:rFonts w:ascii="Times New Roman" w:hAnsi="Times New Roman"/>
          <w:sz w:val="19"/>
        </w:rPr>
      </w:pPr>
      <w:r>
        <w:rPr>
          <w:rFonts w:ascii="Times New Roman" w:hAnsi="Times New Roman"/>
          <w:b/>
          <w:color w:val="000000"/>
          <w:sz w:val="19"/>
        </w:rPr>
        <w:t xml:space="preserve">FISCAL YEARS ENDED JUNE 30, </w:t>
      </w:r>
      <w:r>
        <w:rPr>
          <w:rFonts w:ascii="Times New Roman" w:hAnsi="Times New Roman"/>
          <w:b/>
          <w:color w:val="000000"/>
          <w:sz w:val="20"/>
        </w:rPr>
        <w:t>2026 AND</w:t>
      </w:r>
      <w:r>
        <w:rPr>
          <w:rFonts w:ascii="Times New Roman" w:hAnsi="Times New Roman"/>
          <w:color w:val="000000"/>
          <w:sz w:val="19"/>
        </w:rPr>
        <w:t xml:space="preserve"> </w:t>
      </w:r>
      <w:r>
        <w:rPr>
          <w:rFonts w:ascii="Times New Roman" w:hAnsi="Times New Roman"/>
          <w:b/>
          <w:color w:val="000000"/>
          <w:sz w:val="20"/>
        </w:rPr>
        <w:t>2025</w:t>
      </w:r>
    </w:p>
    <w:p>
      <w:pPr>
        <w:pStyle w:val="TextBody"/>
        <w:bidi w:val="0"/>
        <w:jc w:val="left"/>
        <w:rPr>
          <w:rFonts w:ascii="Times New Roman" w:hAnsi="Times New Roman"/>
          <w:color w:val="000000"/>
          <w:sz w:val="18"/>
        </w:rPr>
      </w:pPr>
      <w:r>
        <w:rPr>
          <w:rFonts w:ascii="Times New Roman" w:hAnsi="Times New Roman"/>
          <w:color w:val="000000"/>
          <w:sz w:val="18"/>
        </w:rPr>
        <w:t>(In thousands)</w:t>
      </w:r>
    </w:p>
    <w:p>
      <w:pPr>
        <w:pStyle w:val="TextBody"/>
        <w:bidi w:val="0"/>
        <w:jc w:val="left"/>
        <w:rPr/>
      </w:pPr>
      <w:r>
        <w:rPr/>
        <w:t> </w:t>
      </w:r>
    </w:p>
    <w:tbl>
      <w:tblPr>
        <w:tblW w:w="9904" w:type="dxa"/>
        <w:jc w:val="left"/>
        <w:tblInd w:w="0" w:type="dxa"/>
        <w:tblLayout w:type="fixed"/>
        <w:tblCellMar>
          <w:top w:w="28" w:type="dxa"/>
          <w:left w:w="28" w:type="dxa"/>
          <w:bottom w:w="28" w:type="dxa"/>
          <w:right w:w="28" w:type="dxa"/>
        </w:tblCellMar>
      </w:tblPr>
      <w:tblGrid>
        <w:gridCol w:w="6931"/>
        <w:gridCol w:w="146"/>
        <w:gridCol w:w="211"/>
        <w:gridCol w:w="841"/>
        <w:gridCol w:w="166"/>
        <w:gridCol w:w="146"/>
        <w:gridCol w:w="211"/>
        <w:gridCol w:w="841"/>
        <w:gridCol w:w="41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non-cash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cash attributable to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and joint ventures, including proceeds from dispositions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termination of net investment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under bank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bank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other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termination of fair value hedge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9"/>
        </w:rPr>
      </w:pPr>
      <w:r>
        <w:rPr>
          <w:rFonts w:ascii="Times New Roman" w:hAnsi="Times New Roman"/>
          <w:i/>
          <w:color w:val="000000"/>
          <w:sz w:val="19"/>
        </w:rPr>
        <w:t>See notes to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THE HAIN CELESTIAL GROUP, INC. AND SUBSIDIARIES</w:t>
      </w:r>
    </w:p>
    <w:p>
      <w:pPr>
        <w:pStyle w:val="TextBody"/>
        <w:bidi w:val="0"/>
        <w:jc w:val="left"/>
        <w:rPr>
          <w:rFonts w:ascii="Times New Roman" w:hAnsi="Times New Roman"/>
          <w:sz w:val="20"/>
        </w:rPr>
      </w:pPr>
      <w:bookmarkStart w:id="23" w:name="notes_to_financial_statements"/>
      <w:bookmarkEnd w:id="23"/>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rFonts w:ascii="Times New Roman" w:hAnsi="Times New Roman"/>
          <w:b/>
          <w:i/>
          <w:color w:val="000000"/>
          <w:sz w:val="20"/>
        </w:rPr>
      </w:pPr>
      <w:r>
        <w:rPr>
          <w:rFonts w:ascii="Times New Roman" w:hAnsi="Times New Roman"/>
          <w:b/>
          <w:i/>
          <w:color w:val="000000"/>
          <w:sz w:val="20"/>
        </w:rPr>
        <w:t>(Amounts in thousands, except par values and per share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DESCRIPTION OF BUSINESS AND BASIS OF PRESENTATION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Hain Celestial Group, Inc., a Delaware corporation (collectively with its subsidiaries, the “Company,” or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beverages, yogurt, baby/kids and meal preparation are marketed and sold around the world. The Company operates under two reportable segments: North America and International.</w:t>
      </w:r>
    </w:p>
    <w:p>
      <w:pPr>
        <w:pStyle w:val="TextBody"/>
        <w:bidi w:val="0"/>
        <w:spacing w:lineRule="auto" w:line="360" w:before="200" w:after="160"/>
        <w:jc w:val="both"/>
        <w:rPr>
          <w:rFonts w:ascii="Times New Roman" w:hAnsi="Times New Roman"/>
          <w:sz w:val="13"/>
        </w:rPr>
      </w:pPr>
      <w:r>
        <w:rPr>
          <w:rFonts w:ascii="Times New Roman" w:hAnsi="Times New Roman"/>
          <w:color w:val="000000"/>
          <w:sz w:val="20"/>
        </w:rPr>
        <w:t>The Company’s leading brands include Celestial Seasonings</w:t>
      </w:r>
      <w:r>
        <w:rPr>
          <w:rFonts w:ascii="Times New Roman" w:hAnsi="Times New Roman"/>
          <w:color w:val="000000"/>
          <w:sz w:val="13"/>
        </w:rPr>
        <w:t xml:space="preserve">® </w:t>
      </w:r>
      <w:r>
        <w:rPr>
          <w:rFonts w:ascii="Times New Roman" w:hAnsi="Times New Roman"/>
          <w:color w:val="000000"/>
          <w:sz w:val="20"/>
        </w:rPr>
        <w:t>teas, The Greek Gods</w:t>
      </w:r>
      <w:r>
        <w:rPr>
          <w:rFonts w:ascii="Times New Roman" w:hAnsi="Times New Roman"/>
          <w:color w:val="000000"/>
          <w:sz w:val="13"/>
        </w:rPr>
        <w:t xml:space="preserve">® </w:t>
      </w:r>
      <w:r>
        <w:rPr>
          <w:rFonts w:ascii="Times New Roman" w:hAnsi="Times New Roman"/>
          <w:color w:val="000000"/>
          <w:sz w:val="20"/>
        </w:rPr>
        <w:t>yogurt, Earth’s Best</w:t>
      </w:r>
      <w:r>
        <w:rPr>
          <w:rFonts w:ascii="Times New Roman" w:hAnsi="Times New Roman"/>
          <w:color w:val="000000"/>
          <w:sz w:val="13"/>
        </w:rPr>
        <w:t xml:space="preserve">® </w:t>
      </w:r>
      <w:r>
        <w:rPr>
          <w:rFonts w:ascii="Times New Roman" w:hAnsi="Times New Roman"/>
          <w:color w:val="000000"/>
          <w:sz w:val="20"/>
        </w:rPr>
        <w:t>Organic and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among others.</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Strategic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fourth quarter of fiscal year 2025, we announced that our Board of Directors was conducting a comprehensive review of the Company’s portfolio with the assistance of our independent financial advisor.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North American Snacks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part of this review, on February 27, 2026, the Company completed the sale (the “North American Snacks Transaction”) of its North American Snacks business, including Garden Veggie Snacks</w:t>
      </w:r>
      <w:r>
        <w:rPr>
          <w:rFonts w:ascii="Times New Roman" w:hAnsi="Times New Roman"/>
          <w:color w:val="000000"/>
          <w:sz w:val="13"/>
        </w:rPr>
        <w:t></w:t>
      </w:r>
      <w:r>
        <w:rPr>
          <w:rFonts w:ascii="Times New Roman" w:hAnsi="Times New Roman"/>
          <w:color w:val="000000"/>
          <w:sz w:val="20"/>
        </w:rPr>
        <w:t>, Terra</w:t>
      </w:r>
      <w:r>
        <w:rPr>
          <w:rFonts w:ascii="Times New Roman" w:hAnsi="Times New Roman"/>
          <w:color w:val="000000"/>
          <w:sz w:val="13"/>
        </w:rPr>
        <w:t xml:space="preserve">® </w:t>
      </w:r>
      <w:r>
        <w:rPr>
          <w:rFonts w:ascii="Times New Roman" w:hAnsi="Times New Roman"/>
          <w:color w:val="000000"/>
          <w:sz w:val="20"/>
        </w:rPr>
        <w:t>chips and Garden of Eatin’</w:t>
      </w:r>
      <w:r>
        <w:rPr>
          <w:rFonts w:ascii="Times New Roman" w:hAnsi="Times New Roman"/>
          <w:color w:val="000000"/>
          <w:sz w:val="13"/>
        </w:rPr>
        <w:t xml:space="preserve">® </w:t>
      </w:r>
      <w:r>
        <w:rPr>
          <w:rFonts w:ascii="Times New Roman" w:hAnsi="Times New Roman"/>
          <w:color w:val="000000"/>
          <w:sz w:val="20"/>
        </w:rPr>
        <w:t>snacks as well as certain private label products (the “North American Snacks Business”) and received $111,200</w:t>
      </w:r>
      <w:r>
        <w:rPr>
          <w:rFonts w:ascii="Times New Roman" w:hAnsi="Times New Roman"/>
          <w:color w:val="000000"/>
          <w:sz w:val="13"/>
        </w:rPr>
        <w:t xml:space="preserve"> </w:t>
      </w:r>
      <w:r>
        <w:rPr>
          <w:rFonts w:ascii="Times New Roman" w:hAnsi="Times New Roman"/>
          <w:color w:val="000000"/>
          <w:sz w:val="20"/>
        </w:rPr>
        <w:t>in cash, reflecting the total purchase price of $115,000</w:t>
      </w:r>
      <w:r>
        <w:rPr>
          <w:rFonts w:ascii="Times New Roman" w:hAnsi="Times New Roman"/>
          <w:color w:val="000000"/>
          <w:sz w:val="13"/>
        </w:rPr>
        <w:t xml:space="preserve"> </w:t>
      </w:r>
      <w:r>
        <w:rPr>
          <w:rFonts w:ascii="Times New Roman" w:hAnsi="Times New Roman"/>
          <w:color w:val="000000"/>
          <w:sz w:val="20"/>
        </w:rPr>
        <w:t>less the holdback of an estimate for a customary inventory adjustment, which was finalized following the closing. The Company used the net proceeds of $101,100</w:t>
      </w:r>
      <w:r>
        <w:rPr>
          <w:rFonts w:ascii="Times New Roman" w:hAnsi="Times New Roman"/>
          <w:color w:val="000000"/>
          <w:sz w:val="13"/>
        </w:rPr>
        <w:t xml:space="preserve"> </w:t>
      </w:r>
      <w:r>
        <w:rPr>
          <w:rFonts w:ascii="Times New Roman" w:hAnsi="Times New Roman"/>
          <w:color w:val="000000"/>
          <w:sz w:val="20"/>
        </w:rPr>
        <w:t>from the North American Snacks Transaction to reduce the Company’s indebtedness.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International Business Transaction</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As an additional step in the strategic review, on September 12, 2026, the Company entered into a Share Purchase Agreement (the “Purchase Agreement”) with entities (the “Purchasers”) affiliated with global private equity firm AURELIUS pursuant to which, subject to the terms and conditions set forth therein, the Purchasers have agreed to acquire from the Company (the “International Business Transaction”) the entities that operate Hain Celestial’s International business in the United Kingdom, Ireland and Europe, including Ella’s Kitchen</w:t>
      </w:r>
      <w:r>
        <w:rPr>
          <w:rFonts w:ascii="Times New Roman" w:hAnsi="Times New Roman"/>
          <w:color w:val="000000"/>
          <w:sz w:val="13"/>
        </w:rPr>
        <w:t xml:space="preserve">® </w:t>
      </w:r>
      <w:r>
        <w:rPr>
          <w:rFonts w:ascii="Times New Roman" w:hAnsi="Times New Roman"/>
          <w:color w:val="000000"/>
          <w:sz w:val="20"/>
        </w:rPr>
        <w:t>baby and kids foods, Joya</w:t>
      </w:r>
      <w:r>
        <w:rPr>
          <w:rFonts w:ascii="Times New Roman" w:hAnsi="Times New Roman"/>
          <w:color w:val="000000"/>
          <w:sz w:val="13"/>
        </w:rPr>
        <w:t xml:space="preserve">® </w:t>
      </w:r>
      <w:r>
        <w:rPr>
          <w:rFonts w:ascii="Times New Roman" w:hAnsi="Times New Roman"/>
          <w:color w:val="000000"/>
          <w:sz w:val="20"/>
        </w:rPr>
        <w:t>and Natumi</w:t>
      </w:r>
      <w:r>
        <w:rPr>
          <w:rFonts w:ascii="Times New Roman" w:hAnsi="Times New Roman"/>
          <w:color w:val="000000"/>
          <w:sz w:val="13"/>
        </w:rPr>
        <w:t xml:space="preserve">® </w:t>
      </w:r>
      <w:r>
        <w:rPr>
          <w:rFonts w:ascii="Times New Roman" w:hAnsi="Times New Roman"/>
          <w:color w:val="000000"/>
          <w:sz w:val="20"/>
        </w:rPr>
        <w:t>plant-based beverages, Hartley’s</w:t>
      </w:r>
      <w:r>
        <w:rPr>
          <w:rFonts w:ascii="Times New Roman" w:hAnsi="Times New Roman"/>
          <w:color w:val="000000"/>
          <w:sz w:val="13"/>
        </w:rPr>
        <w:t xml:space="preserve">® </w:t>
      </w:r>
      <w:r>
        <w:rPr>
          <w:rFonts w:ascii="Times New Roman" w:hAnsi="Times New Roman"/>
          <w:color w:val="000000"/>
          <w:sz w:val="20"/>
        </w:rPr>
        <w:t>jelly, as well as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(collectively, the “International Business”).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gross sale price for the International Business Transaction is £233,000, plus an additional locked box ticker amount expected to be approximately £5,500 (depending on the date on which closing occurs) to compensate the Company for profits of the International Business during a specified period, for an estimated aggregate gross sale price of £238,500, or approximately $323,200. The aggregate net cash proceeds to be realized, after transaction expenses and taxes and including cash to be distributed from the International Business prior to closing, are expected to be between £225,100 and £228,800, or between approximately $305,000 and $310,000. Upon closing of the International Business Transaction, the Company would use the net proceeds to reduce the Company’s indebtedness. The foregoing U.S. Dollar figures are based on current foreign exchange rates and are subject to change based on foreign exchange rates in effect at the time the International Business Transaction closes.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Consummation of the International Business Transaction is subject to the following closing conditions: (1) customary regulatory consents, approvals or non-objections from regulatory authorities in the United Kingdom, Austria, Ireland, Germany and Belgium, and (2) by October 12, 2026, the Company and its lenders entering into an amendment of the Company’s credit agreement, which currently has a maturity date of December 22, 2026, to extend such maturity date by not less than nine months. If the credit agreement amendment is not entered into by October 12, 2026, the Purchasers may terminate the Purchase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remains in active discussions with its lenders to reach an agreement on an amendment of the Company’s credit agreement that would satisfy the closing condition for the International Business Transaction. While there can be no assurance that a credit agreement amendment will be obtained, the Company’s Board of Directors believes that extending the maturity date and completing the International Business Transaction would be in the best interests of the Company and its stakeholders.</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Subject to the satisfaction of the closing conditions, the International Business Transaction is currently expected to close in the Company’s fiscal second quarter ending December 31, 2026. </w:t>
      </w:r>
    </w:p>
    <w:p>
      <w:pPr>
        <w:pStyle w:val="TextBody"/>
        <w:bidi w:val="0"/>
        <w:spacing w:before="20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consolidated financial statements include the accounts of the Company and its wholly-owned and majority-owned subsidiaries. Intercompany accounts and transactions have been eliminated in consolidation. Investments in affiliated companies in which the Company exerts significant influence, but which it does not control, are accounted for under the equity method of accounting. As such, consolidated net loss includes the Company’s equity in the current earnings or losses of such companies.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Unless otherwise indicated, references in these consolidated financial statements to 2026 and 2025 or “fiscal” 2026 and 2025 or other years refer to the fiscal year ended June 30 of that respective year and references to 2026 or “fiscal” 2026 refer to the fiscal year ending June 30,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dollar amounts in the consolidated financial statements, notes and tables have been rounded to the nearest thousands, except par values and per share amounts, unless otherwise indicated.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Going Concern and Management’s Plan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June 30, 2026, the Company had $557,950 of debt obligations under its Credit Agreement (as defined in Note 11, </w:t>
      </w:r>
      <w:r>
        <w:rPr>
          <w:rFonts w:ascii="Times New Roman" w:hAnsi="Times New Roman"/>
          <w:i/>
          <w:color w:val="000000"/>
          <w:sz w:val="20"/>
        </w:rPr>
        <w:t>Debt and Borrowings</w:t>
      </w:r>
      <w:r>
        <w:rPr>
          <w:rFonts w:ascii="Times New Roman" w:hAnsi="Times New Roman"/>
          <w:color w:val="000000"/>
          <w:sz w:val="20"/>
        </w:rPr>
        <w:t xml:space="preserve">) maturing on December 22, 2026, consisting of $411,000 of loans outstanding under the Revolver and $146,950 of Term Loans (each as defined in Note 11, </w:t>
      </w:r>
      <w:r>
        <w:rPr>
          <w:rFonts w:ascii="Times New Roman" w:hAnsi="Times New Roman"/>
          <w:i/>
          <w:color w:val="000000"/>
          <w:sz w:val="20"/>
        </w:rPr>
        <w:t>Debt and Borrowings</w:t>
      </w:r>
      <w:r>
        <w:rPr>
          <w:rFonts w:ascii="Times New Roman" w:hAnsi="Times New Roman"/>
          <w:color w:val="000000"/>
          <w:sz w:val="20"/>
        </w:rPr>
        <w:t xml:space="preserve">). As of June 30, 2026, the Company had cash of $58,078. See Note 11, </w:t>
      </w:r>
      <w:r>
        <w:rPr>
          <w:rFonts w:ascii="Times New Roman" w:hAnsi="Times New Roman"/>
          <w:i/>
          <w:color w:val="000000"/>
          <w:sz w:val="20"/>
        </w:rPr>
        <w:t>Debt and Borrowings</w:t>
      </w:r>
      <w:r>
        <w:rPr>
          <w:rFonts w:ascii="Times New Roman" w:hAnsi="Times New Roman"/>
          <w:color w:val="000000"/>
          <w:sz w:val="2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pending International Business Transaction, if completed, would generate aggregate net cash proceeds of approximately $305,000 to $310,000, which would still leave the Company with significant outstanding debt obligations after using such proceeds to pay down the aggregate principal amount of the Credit Agreement. As previously disclosed, Company management has been in active engagement with the Company’s lenders and other third parties to assess opportunities to refinance the Company’s debt, extend the maturity under the Credit Agreement and evaluate potential capital raising or other strategic transactions. As of the date of the issuance of these financial statements, the Company continues to engage in such discussions, but there can be no assurance that the Company will be able to extend the maturity of the Credit Agreement or complete a refinancing on terms acceptable to the Company, or at all.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and the Board of Directors remain focused on continuing the Company’s strategic review and taking decisive actions to address the upcoming debt maturity under the Credit Agreement. The Company will continue to focus on simplifying the organization and executing a plan to align its cost structure with the scale of the future North American business following the pending International Business Transaction. The Company has developed detailed cost reduction plans and intends to move with urgency to deliver these actions while continuing to explore any and all opportunities to maximize the value of its enterprise for the benefit of all stakeholders.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Under Accounting Standards Codification (“ASC”) 205-40, </w:t>
      </w:r>
      <w:r>
        <w:rPr>
          <w:rFonts w:ascii="Times New Roman" w:hAnsi="Times New Roman"/>
          <w:i/>
          <w:color w:val="000000"/>
          <w:sz w:val="20"/>
        </w:rPr>
        <w:t>Presentation of Financial Statements - Going Concern</w:t>
      </w:r>
      <w:r>
        <w:rPr>
          <w:rFonts w:ascii="Times New Roman" w:hAnsi="Times New Roman"/>
          <w:color w:val="000000"/>
          <w:sz w:val="20"/>
        </w:rPr>
        <w:t>, there is substantial doubt about the Company’s ability to continue as a going concern for at least one year following the date of issuance of these financial statements due to the uncertainty regarding the Company’s ability to refinance or repay its debt due on December 22, 2026 because no such refinancing, retirement or extension has occurred prior to the issuance of the financial statements. Any failure to repay in full the Credit Agreement at or prior to maturity could have a material adverse effect on the Company’s business and financial condition, including being forced to seek relief under federal bankruptcy laws or to pursue a restructuring, wind-down, or liquidation, and holders of the Company’s common stock could experience a significant or complete loss of their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consolidated financial statements have been prepared assuming that the Company will continue as a going concern, and no adjustments have been made to the financial statements to reflect the possibility of the Company’s inability to meet its debt obligations or continue as a going concern.</w:t>
      </w:r>
    </w:p>
    <w:p>
      <w:pPr>
        <w:pStyle w:val="TextBody"/>
        <w:bidi w:val="0"/>
        <w:spacing w:before="200" w:after="283"/>
        <w:jc w:val="both"/>
        <w:rPr>
          <w:rFonts w:ascii="Times New Roman" w:hAnsi="Times New Roman"/>
          <w:sz w:val="20"/>
        </w:rPr>
      </w:pPr>
      <w:r>
        <w:rPr>
          <w:rFonts w:ascii="Times New Roman" w:hAnsi="Times New Roman"/>
          <w:b/>
          <w:color w:val="000000"/>
          <w:sz w:val="20"/>
        </w:rPr>
        <w:t>Reclassification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year amounts within the income tax footnote disclosures have been reclassified for consistency with the current year presentation. There were no reclassifications made to the consolidated balance sheets, consolidated statement of operations, consolidated statements of changes in stockholders’ equity or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statements are prepared in accordance with accounting principles generally accepted in the United States (“U.S. GAAP”). The accounting principles used required the Company to make estimates and assumptions that affect the reported amounts of assets and liabilities at the date of the financial statements and amounts of income and expenses during the reporting periods presented. Actual results could differ from those estimates. These estimates include, among others, variable consideration related to revenue recognition for trade promotions and sales incentives, allowances for credit losses and returns, valuation of long-lived assets, goodwill and intangible assets (acquired in business combinations and analysis of impairment), stock-based compensation for market awards, and valuation allowances for deferred tax assets.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SUMMARY OF SIGNIFICANT ACCOUNTING POLICIES AND PRACTICES</w:t>
      </w:r>
    </w:p>
    <w:p>
      <w:pPr>
        <w:pStyle w:val="TextBody"/>
        <w:bidi w:val="0"/>
        <w:spacing w:before="200" w:after="283"/>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considers cash and cash equivalents to include cash in banks, commercial paper and deposits with financial institutions that can be liquidated without prior notice or penalty. The Company considers all highly liquid investments with an original maturity of three months or less to be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cash and cash equivalents are maintained with several financial institutions. Deposits held with banks may exceed the amount of insurance provided on such deposits. Generally, these deposits may be redeemed upon demand.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sells its products through specialty and natural food distributors, supermarkets, natural foods stores, mass-market and e-commerce retailers, food service channels and club, drug and convenience stores worldwide. The majority of the Company’s revenue contracts represent a single performance obligation related to the fulfillment of customer orders for the purchase of products. The Company recognizes revenue as performance obligations are fulfilled when control passes to customers, which is typically upon delivery of the products to its customers. Customer contracts typically contain standard terms and conditions. In instances where formal written contracts are not in place, the Company considers the customer purchase orders to be contracts based on the criteria outlined in ASC 606, </w:t>
      </w:r>
      <w:r>
        <w:rPr>
          <w:rFonts w:ascii="Times New Roman" w:hAnsi="Times New Roman"/>
          <w:i/>
          <w:color w:val="000000"/>
          <w:sz w:val="20"/>
        </w:rPr>
        <w:t>Revenue from Contracts with Customers</w:t>
      </w:r>
      <w:r>
        <w:rPr>
          <w:rFonts w:ascii="Times New Roman" w:hAnsi="Times New Roman"/>
          <w:color w:val="000000"/>
          <w:sz w:val="20"/>
        </w:rPr>
        <w:t>. Payment terms and conditions vary by customer and are based on the billing schedule established in contracts or purchase orders with customers, but the Company generally provides credit terms to customers ranging from 30-91 days. Therefore, the Company has concluded that contracts do not include a significant financing component.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include shipping and handling charges billed to the customer and are reported net of trade promotions and sales incentives, consumer coupon programs and discounts, including estimated allowances for returns and prompt pay discounts. Shipping and handling costs are accounted for as a fulfillment activity of promise to transfer products to customers and are included in the cost of sales line item on the consolidated statements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Variable Consideration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fixed contract consideration, many of the Company’s contracts include some form of variable consideration. The Company offers various trade promotions and sales incentive programs to customers and consumers, such as price discounts, slotting fees, in-store display incentives, cooperative advertising programs, new product introduction fees and coupons. The expenses associated with these programs are accounted for as reductions to the transaction price of the products and are therefore deducted from sales to determine reported net sales. Trade promotions and sales incentive accruals are subject to significant management estimates and assumptions. The critical assumptions used in estimating the accruals for trade promotions and sales incentives include the Company’s estimate of expected levels of performance and redemption rates. The Company exercises judgment in developing these assumptions. These assumptions are based upon historical performance of the retailer or distributor customers with similar types of promotions adjusted for current trends. The Company regularly reviews and revises, when deemed necessary, estimates of costs to the Company for these promotions and incentives based on what has been incurred by the customers. The terms of most of the promotion and incentive arrangements do not exceed a year and therefore do not require highly uncertain long-term estimates. Settlement of these liabilities typically occurs in subsequent periods primarily through an authorization process for deductions taken by a customer from amounts otherwise due to the Company. Differences between estimated expense and actual promotion and incentive costs are recognized in earnings in the period such differences are determined. Actual expenses may differ if the level of redemption rates and performance were to vary from estimates.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Costs to Obtain or Fulfill a Contract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Company’s contracts are generally shorter than one year, the Company has elected a practical expedient under ASC 606 that allows the Company to expense as incurred the incremental costs of obtaining a contract if the contract period is for one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year or less. These costs are included in selling, general and administrative expenses on the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Allowances for Credit Losses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routinely performs credit evaluations on existing and new customers and maintains an allowance for expected uncollectible accounts receivable which is recorded as an offset to trade accounts receivable on the consolidated balance sheets. Collectability of accounts receivable is assessed by applying a historical loss-rate methodology in accordance with ASC 326, </w:t>
      </w:r>
      <w:r>
        <w:rPr>
          <w:rFonts w:ascii="Times New Roman" w:hAnsi="Times New Roman"/>
          <w:i/>
          <w:color w:val="000000"/>
          <w:sz w:val="20"/>
        </w:rPr>
        <w:t>Financial Instruments - Credit Losses</w:t>
      </w:r>
      <w:r>
        <w:rPr>
          <w:rFonts w:ascii="Times New Roman" w:hAnsi="Times New Roman"/>
          <w:color w:val="000000"/>
          <w:sz w:val="20"/>
        </w:rPr>
        <w:t>, adjusted as necessary based on the Company’s review of accounts receivable on an individual basis, specifically identifying customers with known disputes or collectability issues, and experience with trade receivable aging categories. The Company also considers market conditions and current and expected future economic conditions to inform adjustments to historical loss data. Changes to the allowance, if any, are classified as bad debt provisions within selling, general and administrative expenses on the consolidated statements of operations. Credit losses have been within the Company’s expectations in recent years and are not material. None of the Company’s customers represented more than 10% of the trade receivables balance as of June 30, 2026. While one of the Company’s customers represented approximately 18% of the trade receivables balance as of June 30, 2025, the Company believes that there is no significant or unusual credit exposure at this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cash collection history and other statistical analysis, the Company estimates the amount of unauthorized deductions customers have taken that the Company expects will be collected and repaid in the near future and records a chargeback receivable which is a component of trade receivables. Differences between estimated collectible receivables and actual collections are recognized in earnings in the period such differences are determined.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Sales to one customer and its affiliates approximated 13% and 18% of sales during the fiscal years ended June 30, 2026 and 2025, respectively.</w:t>
      </w:r>
    </w:p>
    <w:p>
      <w:pPr>
        <w:pStyle w:val="TextBody"/>
        <w:bidi w:val="0"/>
        <w:spacing w:before="200" w:after="283"/>
        <w:jc w:val="both"/>
        <w:rPr>
          <w:rFonts w:ascii="Times New Roman" w:hAnsi="Times New Roman"/>
          <w:sz w:val="20"/>
        </w:rPr>
      </w:pPr>
      <w:r>
        <w:rPr>
          <w:rFonts w:ascii="Times New Roman" w:hAnsi="Times New Roman"/>
          <w:b/>
          <w:i/>
          <w:color w:val="000000"/>
          <w:sz w:val="20"/>
        </w:rPr>
        <w:t>Inventory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Inventory is valued at the lower of cost or net realizable value, utilizing the first-in, first-out method. The Company provides write-downs for finished goods expected to become unsaleable due to age and specifically identifies and provides for slow moving or obsolete raw ingredients and packaging.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Property, plant and equipment is carried at cost and depreciated or amortized on a straight-line basis over the estimated useful lives or lease term (for leasehold improvements), whichever is shorter. The Company believes the useful lives assigned to the Company’s property, plant and equipment are within ranges generally used in consumer products manufacturing and distribution businesses. The Company’s manufacturing plants and distribution centers, and their related assets, are reviewed when impairment indicators are present by analyzing underlying cash flow projections. The Company believes no impairment of the carrying value of such assets exists other than as disclosed under Note 7, </w:t>
      </w:r>
      <w:r>
        <w:rPr>
          <w:rFonts w:ascii="Times New Roman" w:hAnsi="Times New Roman"/>
          <w:i/>
          <w:color w:val="000000"/>
          <w:sz w:val="20"/>
        </w:rPr>
        <w:t>Property, Plant and Equipment, Net</w:t>
      </w:r>
      <w:r>
        <w:rPr>
          <w:rFonts w:ascii="Times New Roman" w:hAnsi="Times New Roman"/>
          <w:color w:val="000000"/>
          <w:sz w:val="20"/>
        </w:rPr>
        <w:t>. Ordinary repairs and maintenance costs are expensed as incurred. The Company utilizes the following ranges of asset lives:</w:t>
      </w:r>
    </w:p>
    <w:tbl>
      <w:tblPr>
        <w:tblW w:w="3808" w:type="dxa"/>
        <w:jc w:val="left"/>
        <w:tblInd w:w="0" w:type="dxa"/>
        <w:tblLayout w:type="fixed"/>
        <w:tblCellMar>
          <w:top w:w="28" w:type="dxa"/>
          <w:left w:w="28" w:type="dxa"/>
          <w:bottom w:w="28" w:type="dxa"/>
          <w:right w:w="28" w:type="dxa"/>
        </w:tblCellMar>
      </w:tblPr>
      <w:tblGrid>
        <w:gridCol w:w="2476"/>
        <w:gridCol w:w="146"/>
        <w:gridCol w:w="118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10 - 40 years</w:t>
            </w:r>
          </w:p>
        </w:tc>
      </w:tr>
      <w:tr>
        <w:trPr/>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3 - 20 years</w:t>
            </w:r>
          </w:p>
        </w:tc>
      </w:tr>
      <w:tr>
        <w:trPr/>
        <w:tc>
          <w:tcPr>
            <w:tcW w:w="247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3 - 15 years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Leasehold improvements are amortized over the shorter of the respective initial lease term or the estimated useful life of the assets and generally range from 3 to 20 years.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Software that is developed for internal use is recorded as a component of property, plant and equipment. Qualifying costs incurred to develop internal-use software are capitalized when (i) the preliminary project stage is completed, (ii) management has authorized further funding for the completion of the project and (iii) it is probable that the project will be completed and perform as intended. These capitalized costs include compensation for employees who develop internal-use software and external costs related to development of internal-use software. Capitalization of these costs ceases once the project is substantially complete and the software is ready for its intended purpose. Once placed into service, internally developed software is amortized on a straight-line basis over its estimated useful life which generally ranges from 3 to 10 years. All other expenditures, including those incurred in order to maintain the asset’s current level of performance, are expensed as incurred. The net book value of internally developed software as of June 30, 2026 and 2025 was $11,122 and $11,861, respectively, and is included as a component of Computer Hardware and Software in Note 7, </w:t>
      </w:r>
      <w:r>
        <w:rPr>
          <w:rFonts w:ascii="Times New Roman" w:hAnsi="Times New Roman"/>
          <w:i/>
          <w:color w:val="000000"/>
          <w:sz w:val="20"/>
        </w:rPr>
        <w:t>Property, Plant and Equipment, Net</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b/>
          <w:i/>
          <w:color w:val="000000"/>
          <w:sz w:val="20"/>
        </w:rPr>
        <w:t>Goodwill and Other Indefinite-Lived Intangible Assets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and other intangible assets with indefinite useful lives are not amortized but rather are tested at least annually for impairment, or when circumstances indicate that the carrying amount of the asset may not be recoverable. The Company performs its annual test for impairment at the beginning of the fourth quarter of its fiscal year.</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The Company may elect not to perform the qualitative assessment for some or all reporting units and perform a quantitative impairment test. The impairment test for goodwill requires the Company to compare the fair value of a reporting unit to its carrying value. The Company uses a blended analysis of a discounted cash flow model and a market valuation approach to determine the fair values of its reporting units. If the carrying value of a reporting unit exceeds its fair value, the Company would then compare the carrying value of the goodwill to its implied fair value in order to determine the amount of the impairment, if any.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Indefinite-lived intangible assets, which are not amortized, consist primarily of acquired trademarks and tradenames. Indefinite-lived intangible assets are evaluated on an annual basis in conjunction with the Company’s evaluation of goodwill, or on an interim basis if and when events or circumstances change that would more likely than not reduce the fair value of any of its indefinite-lived intangible assets below their carrying value. In assessing fair value, the Company utilizes a “relief from royalty” methodology. This approach involves two steps: (i) estimating the royalty rates for each trademark and (ii) applying these royalty rates to a projected net sales stream and discounting the resulting cash flows to determine fair value. If the carrying value of the indefinite-lived intangible assets exceeds the fair value of the assets, the carrying value is written down to fair value in the period identified. This method includes significant management assumptions such as revenue growth rates, weighted average cost of capital and assumed royalty rates. Effective April 1, 2026, as part of its annual impairment testing and in connection with the ongoing strategic review and business strategy to focus on simplifying the organization and its portfolio, the Company changed the estimated useful life of its remaining intangible assets from indefinite to definite. See Note 9, </w:t>
      </w:r>
      <w:r>
        <w:rPr>
          <w:rFonts w:ascii="Times New Roman" w:hAnsi="Times New Roman"/>
          <w:i/>
          <w:color w:val="000000"/>
          <w:sz w:val="20"/>
        </w:rPr>
        <w:t>Goodwill and Other Intangible Assets</w:t>
      </w:r>
      <w:r>
        <w:rPr>
          <w:rFonts w:ascii="Times New Roman" w:hAnsi="Times New Roman"/>
          <w:color w:val="000000"/>
          <w:sz w:val="20"/>
        </w:rPr>
        <w:t xml:space="preserve"> and Note 15, </w:t>
      </w:r>
      <w:r>
        <w:rPr>
          <w:rFonts w:ascii="Times New Roman" w:hAnsi="Times New Roman"/>
          <w:i/>
          <w:color w:val="000000"/>
          <w:sz w:val="20"/>
        </w:rPr>
        <w:t xml:space="preserve">Fair Value Measurements, </w:t>
      </w:r>
      <w:r>
        <w:rPr>
          <w:rFonts w:ascii="Times New Roman" w:hAnsi="Times New Roman"/>
          <w:color w:val="000000"/>
          <w:sz w:val="20"/>
        </w:rPr>
        <w:t xml:space="preserve">for additional information on goodwill and intangibles impairment charges.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Transfer of Financial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accounts for transfers of financial assets, such as non-recourse accounts receivable financing arrangements, when the Company has surrendered control over the related assets. Determining whether control has transferred requires an evaluation of relevant legal considerations, an assessment of the nature and extent of the Company’s continuing involvement with the assets transferred and any other relevant considerations. The Company has non-recourse financing arrangements in which eligible receivables are sold to third-party buyers in exchange for cash. The Company transferred accounts receivable in their entirety to the buyers and satisfied all of the conditions to report the transfer of financial assets in their entirety as a sale. The principal amount of receivables sold under these arrangements was $232,909 and $289,431 during the fiscal years ended June 30, 2026 and 2025, respectively. The incremental cost of financing receivables under these arrangements is included in selling, general and administrative expenses on the Company’s consolidated statements of operations. The proceeds from the sale of receivables are included in cash provided by operating activities on the consolidated statements of cash flows.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cost of sales are the cost of products sold, including the costs of raw materials and labor and overhead required to produce the products, warehousing, distribution, supply chain costs, as well as costs associated with shipping and handling of inventory.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Foreign Currency Translation and Remeasurement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assets and liabilities of international operations are translated at the exchange rates in effect at the balance sheet date. Revenue and expense accounts are translated at the monthly average exchange rates. Adjustments arising from the translation of the foreign currency financial statements of the Company’s international operations are reported as a component of accumulated other comprehensive loss on the consolidated balance sheets. Gains and losses arising from intercompany foreign currency transactions that are of a long-term nature are reported in the same manner as translation adjustments.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Gains and losses arising from intercompany foreign currency transactions that are not of a long-term nature and certain transactions of the Company’s subsidiaries which are denominated in currencies other than the subsidiaries’ functional currency are recognized as incurred in other expense, net on the consolidated statements of operations.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Included in selling, general and administrative expenses are advertising costs, promotion costs not paid directly to the Company’s customers, salary and related benefit costs of the Company’s employees in the finance, human resources, information technology, legal, sales and marketing functions, facility related costs of the Company’s administrative functions, research and development costs, and costs paid to consultants and third party providers for related services.</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are expensed as incurred and are included in selling, general and administrative expenses on the consolidated statements of operations. Research and development costs amounted to $6,174 and $5,222 in fiscal 2026 and 2025, respectively, consisting primarily of personnel related costs. The Company’s research and development expenditures do not include the expenditures on such activities undertaken by co-packers and suppliers who develop numerous products on behalf of the Company and on their own initiative with the expectation that the Company will accept their new product ideas and market them under the Company’s brands.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Advertising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Advertising costs, which are included in selling, general and administrative expenses, amounted to $32,682 and $31,489 in fiscal 2026 and 2025, respectively. Such costs are expensed as incurred.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Proceeds from Insurance Claims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fiscal 2026, the Company received $25,900 of proceeds from insurance claims under its Representation and Warranty (“R&amp;W”) insurance related to one of the Company’s prior acquisitions, which was collected on January 2, 2026. There were no proceeds received from insurance claims in fiscal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follows the liability method of accounting for income taxes. Under the liability method, deferred taxes are determined based on the differences between the financial statement and tax bases of assets and liabilities at enacted rates in effect in the years in which the differences are expected to reverse. The Company also assesses the likelihood of future realization of deferred tax assets, including recent earnings results within taxing jurisdictions, expectations of future taxable income, the carryforward periods available and other relevant factors. Valuation allowances are provided for deferred tax assets to the extent it is more likely than not that the deferred tax assets will not be recoverable against future taxable income.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liabilities for uncertain tax positions based on a two-step process prescribed by the authoritative guidance. The first step requires the Company to determine if the weight of available evidence indicates that the tax position has met the threshold for recognition; therefore, the Company must evaluate whether it is more likely than not that the position will be sustained on audit, including resolution of any related appeals or litigation processes. The second step requires the Company to measure the tax benefit of the tax position taken, or expected to be taken, in an income tax return as the largest amount that is more than 50% likely of being realized upon ultimate settlement. The Company reevaluates the uncertain tax positions each period based on factors including, but not limited to, changes in facts or circumstances, changes in tax law, effectively settled issues under audit, and new audit activity. Depending on the jurisdiction, such a change in recognition or measurement may result in the recognition of a tax benefit or an additional charge to the tax provision in the period. The Company records interest and penalties in the provision for income taxes.</w:t>
      </w:r>
    </w:p>
    <w:p>
      <w:pPr>
        <w:pStyle w:val="TextBody"/>
        <w:bidi w:val="0"/>
        <w:spacing w:before="200" w:after="283"/>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financial instruments is the amount at which the instrument could be exchanged in a current transaction between willing parties. At June 30, 2026 and 2025, the carrying values of financial instruments such as accounts receivable, accounts payable, accrued expenses and other current liabilities, as well as borrowings under the Company’s credit facility and other borrowings, approximated fair value based upon either the short-term maturities or market interest rates of these instruments.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Derivative Instruments and Hedging Activities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ASC 815, </w:t>
      </w:r>
      <w:r>
        <w:rPr>
          <w:rFonts w:ascii="Times New Roman" w:hAnsi="Times New Roman"/>
          <w:i/>
          <w:color w:val="000000"/>
          <w:sz w:val="20"/>
        </w:rPr>
        <w:t>Derivatives and Hedging</w:t>
      </w:r>
      <w:r>
        <w:rPr>
          <w:rFonts w:ascii="Times New Roman" w:hAnsi="Times New Roman"/>
          <w:color w:val="000000"/>
          <w:sz w:val="20"/>
        </w:rPr>
        <w:t>,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all derivatives on the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effective portion of changes in the fair value of derivative instruments that qualify for cash flow hedge and net investment hedge accounting treatment are recognized in stockholders’ equity as a component of accumulated other comprehensive loss until the hedged item is recognized in earnings. Changes in the fair value of fair value hedges, derivatives that do not qualify for hedge accounting treatment, as well as the ineffective portion of any cash flow hedges, are recognized currently in earnings as a component of interest and other financing expense, net on the consolidated statements of operations. The Company reports cash flows arising from derivative instruments consistent with the classification of cash flows from the underlying hedged items that these derivatives are hedging. Accordingly, the cash flows associated with derivatives designated as net investment hedges and fair value hedges are classified in cash flows from investing and financing activities, respectively, on the consolidated statements of cash flows. The Company may enter into derivative contracts that are intended to economically hedge certain of its risks, even though hedge accounting does not apply, or the Company elects not to apply hedge accounting.</w:t>
      </w:r>
    </w:p>
    <w:p>
      <w:pPr>
        <w:pStyle w:val="TextBody"/>
        <w:bidi w:val="0"/>
        <w:spacing w:before="200" w:after="283"/>
        <w:jc w:val="both"/>
        <w:rPr>
          <w:rFonts w:ascii="Times New Roman" w:hAnsi="Times New Roman"/>
          <w:sz w:val="20"/>
        </w:rPr>
      </w:pPr>
      <w:r>
        <w:rPr>
          <w:rFonts w:ascii="Times New Roman" w:hAnsi="Times New Roman"/>
          <w:b/>
          <w:i/>
          <w:color w:val="000000"/>
          <w:sz w:val="20"/>
        </w:rPr>
        <w:t>Valuation of Long-Lived Assets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periodically evaluates the carrying value of long-lived assets held and used in the business and with definite lives, when events and circumstances occur indicating that the carrying amount of the asset or its asset group may not be recoverable. An impairment test is performed when the estimated undiscounted cash flows associated with the asset or asset group is less than its carrying value. If the undiscounted cash flows are less than the carrying value of the asset or its asset group, the Company performs test to fair value the asset or its asset group. A loss is recognized based on the amount, if any, by which the carrying value exceeds the estimated fair value of the asset or asset group.</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See Note 7, </w:t>
      </w:r>
      <w:r>
        <w:rPr>
          <w:rFonts w:ascii="Times New Roman" w:hAnsi="Times New Roman"/>
          <w:i/>
          <w:color w:val="000000"/>
          <w:sz w:val="20"/>
        </w:rPr>
        <w:t>Property, Plant and Equipment</w:t>
      </w:r>
      <w:r>
        <w:rPr>
          <w:rFonts w:ascii="Times New Roman" w:hAnsi="Times New Roman"/>
          <w:color w:val="000000"/>
          <w:sz w:val="20"/>
        </w:rPr>
        <w:t xml:space="preserve">, </w:t>
      </w:r>
      <w:r>
        <w:rPr>
          <w:rFonts w:ascii="Times New Roman" w:hAnsi="Times New Roman"/>
          <w:i/>
          <w:color w:val="000000"/>
          <w:sz w:val="20"/>
        </w:rPr>
        <w:t>Net</w:t>
      </w:r>
      <w:r>
        <w:rPr>
          <w:rFonts w:ascii="Times New Roman" w:hAnsi="Times New Roman"/>
          <w:color w:val="000000"/>
          <w:sz w:val="20"/>
        </w:rPr>
        <w:t xml:space="preserve">, Note 9, </w:t>
      </w:r>
      <w:r>
        <w:rPr>
          <w:rFonts w:ascii="Times New Roman" w:hAnsi="Times New Roman"/>
          <w:i/>
          <w:color w:val="000000"/>
          <w:sz w:val="20"/>
        </w:rPr>
        <w:t>Goodwill and Other Intangible Assets</w:t>
      </w:r>
      <w:r>
        <w:rPr>
          <w:rFonts w:ascii="Times New Roman" w:hAnsi="Times New Roman"/>
          <w:color w:val="000000"/>
          <w:sz w:val="20"/>
        </w:rPr>
        <w:t xml:space="preserve">, and Note 15, </w:t>
      </w:r>
      <w:r>
        <w:rPr>
          <w:rFonts w:ascii="Times New Roman" w:hAnsi="Times New Roman"/>
          <w:i/>
          <w:color w:val="000000"/>
          <w:sz w:val="20"/>
        </w:rPr>
        <w:t>Fair Value Measurements</w:t>
      </w:r>
      <w:r>
        <w:rPr>
          <w:rFonts w:ascii="Times New Roman" w:hAnsi="Times New Roman"/>
          <w:color w:val="000000"/>
          <w:sz w:val="20"/>
        </w:rPr>
        <w:t>, for additional information on long-lived asset impairment charges.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With the exception of certain finance leases, an implicit rate of return is not readily determinable for the Company’s leases. For these leases, an incremental borrowing rate is used in determining the present value of lease payments and is calculated based on information available at the lease commencement date. 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lease terms may include options to extend or terminate the lease when it is reasonably certain that the option will be exercised. Leases with an initial term of 12 months or less are not recognized on the consolidated balance sheets. The Company has elected to separate lease and non-lease components.</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fair market value of the Company’s common stock on the grant date to measure fair value for service-based awards and a Monte Carlo simulation model to determine the fair value of market-based awards. The Company uses historical volatility to calculate the expected volatility matching the expected holding period. The fair value of stock-based compensation awards is recognized as an expense over the vesting period using the straight-line method. For awards that contain a market condition, expense is recognized over the defined or derived service period using a Monte Carlo simulation model. Compensation expense is recognized for these awards on a straight-line basis over the service period, regardless of the eventual number of shares that are earned based upon the market condition, provided that each grantee remains an employee at the end of the performance period. Compensation expense on awards that contain a market condition is reversed if at any time during the service period a grantee is no longer an employee.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recognizes forfeitures as they occur at which time compensation cost previously recognized for an award that is forfeited because of failure to satisfy a condition is reversed in the period of the forfeiture.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receives an income tax deduction in certain tax jurisdictions for restricted stock grants when they vest and for stock options exercised by employees equal to the excess of the market value of the Company’s common stock on the date of exercise over the option price. Excess tax benefits (tax benefits resulting from tax deductions in excess of compensation cost recognized) are classified as a cash flow provided by operating activities on the consolidated statements of cash flows.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by the weighted average number of common shares outstanding for the period. Diluted net loss per share reflects the potential dilution that would occur if securities or other contracts to issue common stock were exercised or converted into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Recently Adopted Accounting Pronouncement</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which will require entities to disclose more detailed information in the reconciliation of their statutory tax rate to their effective tax rate. The ASU also requires entities to disclose more detailed information about income taxes paid, including by jurisdiction, pretax income (loss) from continuing operations, and income tax expense (benefit). The amendments were effective for fiscal years beginning after December 15, 2024 and for interim periods within fiscal years beginning after December 15, 2025. The Company adopted this ASU effective June 30, 2026 on a prospective basis and has incorporated such enhanced disclosures in Note 12,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May 2026, the FASB issued ASU 2026-02, </w:t>
      </w:r>
      <w:r>
        <w:rPr>
          <w:rFonts w:ascii="Times New Roman" w:hAnsi="Times New Roman"/>
          <w:i/>
          <w:color w:val="000000"/>
          <w:sz w:val="20"/>
        </w:rPr>
        <w:t>Environmental Credits and Environmental Credit Obligations</w:t>
      </w:r>
      <w:r>
        <w:rPr>
          <w:rFonts w:ascii="Times New Roman" w:hAnsi="Times New Roman"/>
          <w:color w:val="000000"/>
          <w:sz w:val="20"/>
        </w:rPr>
        <w:t xml:space="preserve"> to clarify the accounting treatment and reporting standards of environmental credits and environmental credit obligations. ASU 2026-02 is effective for annual reporting periods beginning after December 15, 2027 and interim reporting periods within those annual reporting periods. Early adoption is permitted as of the beginning of an annual reporting period and should be applied on a retrospective basis. The Company is currently evaluating the provisions of the amendments and the effect on its future consolidated financial statements and related disclosures.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2025, the FASB issued ASU 2025-12, </w:t>
      </w:r>
      <w:r>
        <w:rPr>
          <w:rFonts w:ascii="Times New Roman" w:hAnsi="Times New Roman"/>
          <w:i/>
          <w:color w:val="000000"/>
          <w:sz w:val="20"/>
        </w:rPr>
        <w:t>Codification Improvements</w:t>
      </w:r>
      <w:r>
        <w:rPr>
          <w:rFonts w:ascii="Times New Roman" w:hAnsi="Times New Roman"/>
          <w:color w:val="000000"/>
          <w:sz w:val="20"/>
        </w:rPr>
        <w:t xml:space="preserve"> to address suggestions received from stakeholders on the ASC and to make other incremental improvements to U.S. GAAP. The update represents changes that clarify, correct errors in or make other minor improvements to a broad range of topics that is intended to make it easier to understand and apply, including ASC 260, </w:t>
      </w:r>
      <w:r>
        <w:rPr>
          <w:rFonts w:ascii="Times New Roman" w:hAnsi="Times New Roman"/>
          <w:i/>
          <w:color w:val="000000"/>
          <w:sz w:val="20"/>
        </w:rPr>
        <w:t>Earnings Per Share</w:t>
      </w:r>
      <w:r>
        <w:rPr>
          <w:rFonts w:ascii="Times New Roman" w:hAnsi="Times New Roman"/>
          <w:color w:val="000000"/>
          <w:sz w:val="20"/>
        </w:rPr>
        <w:t xml:space="preserve">, ASC 325, </w:t>
      </w:r>
      <w:r>
        <w:rPr>
          <w:rFonts w:ascii="Times New Roman" w:hAnsi="Times New Roman"/>
          <w:i/>
          <w:color w:val="000000"/>
          <w:sz w:val="20"/>
        </w:rPr>
        <w:t>Investments – Other</w:t>
      </w:r>
      <w:r>
        <w:rPr>
          <w:rFonts w:ascii="Times New Roman" w:hAnsi="Times New Roman"/>
          <w:color w:val="000000"/>
          <w:sz w:val="20"/>
        </w:rPr>
        <w:t xml:space="preserve">, and ASC 958, </w:t>
      </w:r>
      <w:r>
        <w:rPr>
          <w:rFonts w:ascii="Times New Roman" w:hAnsi="Times New Roman"/>
          <w:i/>
          <w:color w:val="000000"/>
          <w:sz w:val="20"/>
        </w:rPr>
        <w:t>Not-for-Profit Entities</w:t>
      </w:r>
      <w:r>
        <w:rPr>
          <w:rFonts w:ascii="Times New Roman" w:hAnsi="Times New Roman"/>
          <w:color w:val="000000"/>
          <w:sz w:val="20"/>
        </w:rPr>
        <w:t>. The guidance is effective for fiscal years beginning after December 15, 2026, including interim periods within those fiscal years, with early adoption permitted. Entities are required to apply the amendments to ASC 260 retrospectively. All other amendments may be applied prospectively or retrospectively. The Company is currently evaluating the provisions of the amendments and the effect on its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2025, the FASB issued ASU 2025-11, </w:t>
      </w:r>
      <w:r>
        <w:rPr>
          <w:rFonts w:ascii="Times New Roman" w:hAnsi="Times New Roman"/>
          <w:i/>
          <w:color w:val="000000"/>
          <w:sz w:val="20"/>
        </w:rPr>
        <w:t>Interim Reporting (Topic 270): Narrow-Scope Improvements</w:t>
      </w:r>
      <w:r>
        <w:rPr>
          <w:rFonts w:ascii="Times New Roman" w:hAnsi="Times New Roman"/>
          <w:color w:val="000000"/>
          <w:sz w:val="20"/>
        </w:rPr>
        <w:t>. ASU 2025-11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The amendments are effective for interim reporting periods within annual reporting periods beginning after December 15, 2027, with early adoption permitted. The Company is currently evaluating the provisions of the amendments and the effect on its future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November 25, 2025, the FASB issued ASU 2025-09, </w:t>
      </w:r>
      <w:r>
        <w:rPr>
          <w:rFonts w:ascii="Times New Roman" w:hAnsi="Times New Roman"/>
          <w:i/>
          <w:color w:val="000000"/>
          <w:sz w:val="20"/>
        </w:rPr>
        <w:t>Derivatives and Hedging (Topic 815): Hedge Accounting Improvements</w:t>
      </w:r>
      <w:r>
        <w:rPr>
          <w:rFonts w:ascii="Times New Roman" w:hAnsi="Times New Roman"/>
          <w:color w:val="000000"/>
          <w:sz w:val="20"/>
        </w:rPr>
        <w:t>. ASU 2025-09 clarifies the application of previous hedge accounting guidance and addresses emerging issues identified by stakeholders, including those related to reference rate reform. The main amendments relate to cash flow hedging, but some of the amendments affect certain fair value and net investment hedges.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2025-07, </w:t>
      </w:r>
      <w:r>
        <w:rPr>
          <w:rFonts w:ascii="Times New Roman" w:hAnsi="Times New Roman"/>
          <w:i/>
          <w:color w:val="000000"/>
          <w:sz w:val="20"/>
        </w:rPr>
        <w:t>Derivatives and Hedging and Revenue from Contracts with Customers, Derivatives and Hedging</w:t>
      </w:r>
      <w:r>
        <w:rPr>
          <w:rFonts w:ascii="Times New Roman" w:hAnsi="Times New Roman"/>
          <w:color w:val="000000"/>
          <w:sz w:val="20"/>
        </w:rPr>
        <w:t xml:space="preserve"> </w:t>
      </w:r>
      <w:r>
        <w:rPr>
          <w:rFonts w:ascii="Times New Roman" w:hAnsi="Times New Roman"/>
          <w:i/>
          <w:color w:val="000000"/>
          <w:sz w:val="20"/>
        </w:rPr>
        <w:t>(Topic 815) and Revenue from Contracts with Customers (Topic 606)</w:t>
      </w:r>
      <w:r>
        <w:rPr>
          <w:rFonts w:ascii="Times New Roman" w:hAnsi="Times New Roman"/>
          <w:color w:val="000000"/>
          <w:sz w:val="20"/>
        </w:rPr>
        <w:t>. The guidance refines the scope of Topic 815 to clarify which contracts are subject to derivative accounting. The guidance also provides clarification under Topic 606 for share-based payments from a customer in a revenue contract. The amendments are effective for fiscal years beginning after December 15, 2026, and interim reporting periods, with early adoption permitted. The Company is currently evaluating the provisions of the amendments and the effect on its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 Targeted Improvements to the Accounting for Internal-Use Software</w:t>
      </w:r>
      <w:r>
        <w:rPr>
          <w:rFonts w:ascii="Times New Roman" w:hAnsi="Times New Roman"/>
          <w:color w:val="000000"/>
          <w:sz w:val="20"/>
        </w:rPr>
        <w:t>, which modernizes the guidance in ASC 350-40, Intangibles — Goodwill and Other — Internal-Use Software, to better align with current software development practices, including agile methodologies. The amendments are effective for fiscal years beginning after December 15, 2027 and interim reporting periods within those annual reporting periods. The Company is currently evaluating the provisions of the amendments and the effect on its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 — Credit Losses (Topic 326) — Measurement of Credit Losses for Accounts Receivable and Contract Assets</w:t>
      </w:r>
      <w:r>
        <w:rPr>
          <w:rFonts w:ascii="Times New Roman" w:hAnsi="Times New Roman"/>
          <w:color w:val="000000"/>
          <w:sz w:val="20"/>
        </w:rPr>
        <w:t>, which will provide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The amendments are effective for fiscal years beginning after December 15, 2025 and for interim periods within fiscal years beginning after December 15, 2025. The adoption of this guidance is not expected to have a material impact on the Company’s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The amendments address investor requests for more detailed expense information and require additional disaggregated disclosures in the notes to financial statements for certain categories of expenses that are included on the face of the income statement. The amendments are effective for fiscal years beginning after December 15, 2026, and interim periods within fiscal years beginning after December 15, 2027, with early adoption permitted. The Company is currently evaluating the provisions of the amendments and the effect on its future consolidated financial statements.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on the consolidated statements of operations:</w:t>
      </w:r>
    </w:p>
    <w:p>
      <w:pPr>
        <w:pStyle w:val="TextBody"/>
        <w:bidi w:val="0"/>
        <w:jc w:val="both"/>
        <w:rPr/>
      </w:pPr>
      <w:r>
        <w:rPr/>
        <w:t> </w:t>
      </w:r>
    </w:p>
    <w:tbl>
      <w:tblPr>
        <w:tblW w:w="7529" w:type="dxa"/>
        <w:jc w:val="left"/>
        <w:tblInd w:w="0" w:type="dxa"/>
        <w:tblLayout w:type="fixed"/>
        <w:tblCellMar>
          <w:top w:w="28" w:type="dxa"/>
          <w:left w:w="28" w:type="dxa"/>
          <w:bottom w:w="28" w:type="dxa"/>
          <w:right w:w="28" w:type="dxa"/>
        </w:tblCellMar>
      </w:tblPr>
      <w:tblGrid>
        <w:gridCol w:w="4676"/>
        <w:gridCol w:w="146"/>
        <w:gridCol w:w="211"/>
        <w:gridCol w:w="841"/>
        <w:gridCol w:w="166"/>
        <w:gridCol w:w="146"/>
        <w:gridCol w:w="211"/>
        <w:gridCol w:w="841"/>
        <w:gridCol w:w="291"/>
      </w:tblGrid>
      <w:tr>
        <w:trPr/>
        <w:tc>
          <w:tcPr>
            <w:tcW w:w="4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6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 Company’s net loss in each of the twelve months ended June 30, 2026 and June 30, 2025, all common stock equivalents such as stock options, unvested restricted share units and performance share units have been excluded from the computation of diluted net loss per share. The effect of the stock options and unvested restricted share units would have been anti-dilutive to the computations. The performance share units were contingently issuable based on market conditions or performance goals and such conditions or goals had not been achieved during the respective years.</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ASSETS AND LIABILITIES HELD FOR SALE</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year 2025, the Company announced that it was exploring strategic alternatives regarding its personal care (“PC”) business to focus on its portfolio of better-for-you food and beverages. The Company determined that its PC business was held for sale and ascribed an aggregate $11,000</w:t>
      </w:r>
      <w:r>
        <w:rPr>
          <w:rFonts w:ascii="Times New Roman" w:hAnsi="Times New Roman"/>
          <w:color w:val="000000"/>
          <w:sz w:val="13"/>
        </w:rPr>
        <w:t xml:space="preserve"> </w:t>
      </w:r>
      <w:r>
        <w:rPr>
          <w:rFonts w:ascii="Times New Roman" w:hAnsi="Times New Roman"/>
          <w:color w:val="000000"/>
          <w:sz w:val="20"/>
        </w:rPr>
        <w:t>of goodwill from its U.S. and Canada reporting units, which comprise the North America reportable segment,</w:t>
      </w:r>
      <w:r>
        <w:rPr>
          <w:rFonts w:ascii="Times New Roman" w:hAnsi="Times New Roman"/>
          <w:color w:val="000000"/>
          <w:sz w:val="13"/>
        </w:rPr>
        <w:t xml:space="preserve"> </w:t>
      </w:r>
      <w:r>
        <w:rPr>
          <w:rFonts w:ascii="Times New Roman" w:hAnsi="Times New Roman"/>
          <w:color w:val="000000"/>
          <w:sz w:val="20"/>
        </w:rPr>
        <w:t>to the PC business. The operating results of the business were not significant. Although the market conditions have deteriorated, the Company continues to expect that it will sell or dispose of these assets within 12 months. During the fiscal years ended June 30, 2026 and 2025, the Company recorded non-cash charges of $11,200</w:t>
      </w:r>
      <w:r>
        <w:rPr>
          <w:rFonts w:ascii="Times New Roman" w:hAnsi="Times New Roman"/>
          <w:color w:val="000000"/>
          <w:sz w:val="13"/>
        </w:rPr>
        <w:t xml:space="preserve"> </w:t>
      </w:r>
      <w:r>
        <w:rPr>
          <w:rFonts w:ascii="Times New Roman" w:hAnsi="Times New Roman"/>
          <w:color w:val="000000"/>
          <w:sz w:val="20"/>
        </w:rPr>
        <w:t>and $26,843</w:t>
      </w:r>
      <w:r>
        <w:rPr>
          <w:rFonts w:ascii="Times New Roman" w:hAnsi="Times New Roman"/>
          <w:color w:val="000000"/>
          <w:sz w:val="13"/>
        </w:rPr>
        <w:t xml:space="preserve"> </w:t>
      </w:r>
      <w:r>
        <w:rPr>
          <w:rFonts w:ascii="Times New Roman" w:hAnsi="Times New Roman"/>
          <w:color w:val="000000"/>
          <w:sz w:val="20"/>
        </w:rPr>
        <w:t>to write down the carrying amount of the disposal group to its estimated fair value less cost to dispose, which was reflected within long-lived asset and intangibles impairment on the consolidated statements of operations. During the fiscal year ended June 30, 2026, the Company completed the exit of the Yves Veggie Cuisine</w:t>
      </w:r>
      <w:r>
        <w:rPr>
          <w:rFonts w:ascii="Times New Roman" w:hAnsi="Times New Roman"/>
          <w:color w:val="000000"/>
          <w:sz w:val="13"/>
        </w:rPr>
        <w:t xml:space="preserve">® </w:t>
      </w:r>
      <w:r>
        <w:rPr>
          <w:rFonts w:ascii="Times New Roman" w:hAnsi="Times New Roman"/>
          <w:color w:val="000000"/>
          <w:sz w:val="20"/>
        </w:rPr>
        <w:t>plant-based business in Canada (“Yves”) and accordingly classified its remaining property, plant and equipment, net, with a remaining carrying value of $2,545</w:t>
      </w:r>
      <w:r>
        <w:rPr>
          <w:rFonts w:ascii="Times New Roman" w:hAnsi="Times New Roman"/>
          <w:color w:val="000000"/>
          <w:sz w:val="13"/>
        </w:rPr>
        <w:t xml:space="preserve"> </w:t>
      </w:r>
      <w:r>
        <w:rPr>
          <w:rFonts w:ascii="Times New Roman" w:hAnsi="Times New Roman"/>
          <w:color w:val="000000"/>
          <w:sz w:val="20"/>
        </w:rPr>
        <w:t>as held for sale. In the fourth quarter of fiscal 2026, the Company entered into a contract to sell the former Yves facility in Delta, Canada for 13,800</w:t>
      </w:r>
      <w:r>
        <w:rPr>
          <w:rFonts w:ascii="Times New Roman" w:hAnsi="Times New Roman"/>
          <w:color w:val="000000"/>
          <w:sz w:val="13"/>
        </w:rPr>
        <w:t xml:space="preserve"> </w:t>
      </w:r>
      <w:r>
        <w:rPr>
          <w:rFonts w:ascii="Times New Roman" w:hAnsi="Times New Roman"/>
          <w:color w:val="000000"/>
          <w:sz w:val="20"/>
        </w:rPr>
        <w:t>Canadian dollars (approximately $9,700</w:t>
      </w:r>
      <w:r>
        <w:rPr>
          <w:rFonts w:ascii="Times New Roman" w:hAnsi="Times New Roman"/>
          <w:color w:val="000000"/>
          <w:sz w:val="13"/>
        </w:rPr>
        <w:t xml:space="preserve"> </w:t>
      </w:r>
      <w:r>
        <w:rPr>
          <w:rFonts w:ascii="Times New Roman" w:hAnsi="Times New Roman"/>
          <w:color w:val="000000"/>
          <w:sz w:val="20"/>
        </w:rPr>
        <w:t>at the June 30, 2026 closing exchange rate). The sale is subject to customary closing conditions and is expected to close in the second quarter of the 2027 fiscal year.</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The following table presents the major classes of assets and liabilities of the personal care and Yves Veggie Cuisine</w:t>
      </w:r>
      <w:r>
        <w:rPr>
          <w:rFonts w:ascii="Times New Roman" w:hAnsi="Times New Roman"/>
          <w:color w:val="000000"/>
          <w:sz w:val="13"/>
        </w:rPr>
        <w:t xml:space="preserve">® </w:t>
      </w:r>
      <w:r>
        <w:rPr>
          <w:rFonts w:ascii="Times New Roman" w:hAnsi="Times New Roman"/>
          <w:color w:val="000000"/>
          <w:sz w:val="20"/>
        </w:rPr>
        <w:t>plant-based businesses classified as held for sale:</w:t>
      </w:r>
    </w:p>
    <w:tbl>
      <w:tblPr>
        <w:tblW w:w="7560" w:type="dxa"/>
        <w:jc w:val="left"/>
        <w:tblInd w:w="0" w:type="dxa"/>
        <w:tblLayout w:type="fixed"/>
        <w:tblCellMar>
          <w:top w:w="28" w:type="dxa"/>
          <w:left w:w="28" w:type="dxa"/>
          <w:bottom w:w="28" w:type="dxa"/>
          <w:right w:w="28" w:type="dxa"/>
        </w:tblCellMar>
      </w:tblPr>
      <w:tblGrid>
        <w:gridCol w:w="3841"/>
        <w:gridCol w:w="146"/>
        <w:gridCol w:w="317"/>
        <w:gridCol w:w="1108"/>
        <w:gridCol w:w="166"/>
        <w:gridCol w:w="146"/>
        <w:gridCol w:w="317"/>
        <w:gridCol w:w="1108"/>
        <w:gridCol w:w="4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reduction of assets held for sale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(26,843</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Liabilities held for sale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166"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411" w:type="dxa"/>
            <w:tcBorders>
              <w:top w:val="single" w:sz="4" w:space="0" w:color="000000"/>
              <w:bottom w:val="double" w:sz="6" w:space="0" w:color="000000"/>
            </w:tcBorders>
            <w:shd w:fill="CCEE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DISPOSITIONS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North American Snacks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27, 2026, the Company completed the sale of its North American Snacks Business for $111,200 in cash, reflecting the total purchase price of $115,000 less the holdback of an estimate for a customary inventory adjustment. During the fiscal year ended June 30, 2026, the Company deconsolidated the net assets of the North American Snacks Business, primarily consisting of $57,082, $55,952, and $29,415 of goodwill, property, plant and equipment, and inventory, respectively, and recognized a pretax loss on sale of $50,764, which was recorded in other expense, net. The Transaction does not meet the criteria requiring the presentation of the business as a discontinued operation in accordance with U.S. GAAP and is considered a disposition of a significant business as the Company continues to maintain its snacks business within the International reportable segment.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Chop’t Creative Salad Company LLC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22, 2025, the Company sold its minority equity interest in Chop’t Creative Salad Company LLC, predecessor to Founders Table, for a total consideration of $10,000. The Company recorded a pre-tax gain of $5,396 in other expense, net in the consolidated statements of operations. The investment, which the Company acquired on October 27, 2015, had previously been accounted for as an equity method investment due to the Company’s representation on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lineRule="auto" w:line="360" w:before="200" w:after="283"/>
        <w:jc w:val="both"/>
        <w:rPr>
          <w:rFonts w:ascii="Times New Roman" w:hAnsi="Times New Roman"/>
          <w:sz w:val="13"/>
        </w:rPr>
      </w:pPr>
      <w:r>
        <w:rPr>
          <w:rFonts w:ascii="Times New Roman" w:hAnsi="Times New Roman"/>
          <w:b/>
          <w:i/>
          <w:color w:val="000000"/>
          <w:sz w:val="20"/>
        </w:rPr>
        <w:t>ParmCrisps</w:t>
      </w:r>
      <w:r>
        <w:rPr>
          <w:rFonts w:ascii="Times New Roman" w:hAnsi="Times New Roman"/>
          <w:color w:val="000000"/>
          <w:sz w:val="13"/>
        </w:rPr>
        <w: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On August 30, 2024, the Company completed the sale of its ParmCrisps</w:t>
      </w:r>
      <w:r>
        <w:rPr>
          <w:rFonts w:ascii="Times New Roman" w:hAnsi="Times New Roman"/>
          <w:color w:val="000000"/>
          <w:sz w:val="13"/>
        </w:rPr>
        <w:t xml:space="preserve">® </w:t>
      </w:r>
      <w:r>
        <w:rPr>
          <w:rFonts w:ascii="Times New Roman" w:hAnsi="Times New Roman"/>
          <w:color w:val="000000"/>
          <w:sz w:val="20"/>
        </w:rPr>
        <w:t>business for total cash consideration of $12,000, subject to customary post-closing adjustments. During fiscal 2025, the Company deconsolidated the net assets of ParmCrisps</w:t>
      </w:r>
      <w:r>
        <w:rPr>
          <w:rFonts w:ascii="Times New Roman" w:hAnsi="Times New Roman"/>
          <w:color w:val="000000"/>
          <w:sz w:val="13"/>
        </w:rPr>
        <w:t>®</w:t>
      </w:r>
      <w:r>
        <w:rPr>
          <w:rFonts w:ascii="Times New Roman" w:hAnsi="Times New Roman"/>
          <w:color w:val="000000"/>
          <w:sz w:val="20"/>
        </w:rPr>
        <w:t>, primarily consisting of $7,280, $6,725, and $1,282</w:t>
      </w:r>
      <w:r>
        <w:rPr>
          <w:rFonts w:ascii="Times New Roman" w:hAnsi="Times New Roman"/>
          <w:color w:val="000000"/>
          <w:sz w:val="13"/>
        </w:rPr>
        <w:t xml:space="preserve"> </w:t>
      </w:r>
      <w:r>
        <w:rPr>
          <w:rFonts w:ascii="Times New Roman" w:hAnsi="Times New Roman"/>
          <w:color w:val="000000"/>
          <w:sz w:val="20"/>
        </w:rPr>
        <w:t>of goodwill, inventory, and machinery and equipment, respectively, and recognized a pretax loss on sale of $3,863</w:t>
      </w:r>
      <w:r>
        <w:rPr>
          <w:rFonts w:ascii="Times New Roman" w:hAnsi="Times New Roman"/>
          <w:color w:val="000000"/>
          <w:sz w:val="13"/>
        </w:rPr>
        <w:t xml:space="preserve"> </w:t>
      </w:r>
      <w:r>
        <w:rPr>
          <w:rFonts w:ascii="Times New Roman" w:hAnsi="Times New Roman"/>
          <w:color w:val="000000"/>
          <w:sz w:val="20"/>
        </w:rPr>
        <w:t>recorded in other expense, net.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INVENTORIES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jc w:val="left"/>
        <w:rPr/>
      </w:pPr>
      <w:r>
        <w:rPr/>
        <w:t> </w:t>
      </w:r>
    </w:p>
    <w:tbl>
      <w:tblPr>
        <w:tblW w:w="6574" w:type="dxa"/>
        <w:jc w:val="left"/>
        <w:tblInd w:w="0" w:type="dxa"/>
        <w:tblLayout w:type="fixed"/>
        <w:tblCellMar>
          <w:top w:w="28" w:type="dxa"/>
          <w:left w:w="28" w:type="dxa"/>
          <w:bottom w:w="28" w:type="dxa"/>
          <w:right w:w="28" w:type="dxa"/>
        </w:tblCellMar>
      </w:tblPr>
      <w:tblGrid>
        <w:gridCol w:w="3961"/>
        <w:gridCol w:w="146"/>
        <w:gridCol w:w="211"/>
        <w:gridCol w:w="781"/>
        <w:gridCol w:w="146"/>
        <w:gridCol w:w="146"/>
        <w:gridCol w:w="211"/>
        <w:gridCol w:w="781"/>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work-in-progress and packaging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PROPERTY, PLANT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plant and equipment, net consisted of the following:</w:t>
      </w:r>
    </w:p>
    <w:tbl>
      <w:tblPr>
        <w:tblW w:w="5389" w:type="dxa"/>
        <w:jc w:val="left"/>
        <w:tblInd w:w="0" w:type="dxa"/>
        <w:tblLayout w:type="fixed"/>
        <w:tblCellMar>
          <w:top w:w="28" w:type="dxa"/>
          <w:left w:w="28" w:type="dxa"/>
          <w:bottom w:w="28" w:type="dxa"/>
          <w:right w:w="28" w:type="dxa"/>
        </w:tblCellMar>
      </w:tblPr>
      <w:tblGrid>
        <w:gridCol w:w="2776"/>
        <w:gridCol w:w="146"/>
        <w:gridCol w:w="211"/>
        <w:gridCol w:w="781"/>
        <w:gridCol w:w="146"/>
        <w:gridCol w:w="146"/>
        <w:gridCol w:w="211"/>
        <w:gridCol w:w="781"/>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552,018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287,288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fiscal years ended June 30, 2026 and 2025 was $33,505 and $32,494,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8.</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leases office space, warehouse and distribution facilities, manufacturing equipment and vehicles primarily in North America and Western Europe. The Company determines if an arrangement is or contains a lease at inception. Right of use assets related to finance leases are included in property, plant and equipment, net on the consolidated balance sheets. Lease liabilities for finance leases are included in the current and non-current portions of long-term debt on the consolidated balance sheets. The current portion of the operating lease liabilities is included in accrued expenses and other current liabilities on the consolidated balance sheets. The Company does not have any related party leases, and sublease transactions are de minimis. The components of lease expenses for the fiscal years ended June 30, 2026 and 2025 were as follows:</w:t>
      </w:r>
    </w:p>
    <w:p>
      <w:pPr>
        <w:pStyle w:val="TextBody"/>
        <w:bidi w:val="0"/>
        <w:jc w:val="both"/>
        <w:rPr/>
      </w:pPr>
      <w:r>
        <w:rPr/>
        <w:t> </w:t>
      </w:r>
    </w:p>
    <w:tbl>
      <w:tblPr>
        <w:tblW w:w="4809" w:type="dxa"/>
        <w:jc w:val="left"/>
        <w:tblInd w:w="0" w:type="dxa"/>
        <w:tblLayout w:type="fixed"/>
        <w:tblCellMar>
          <w:top w:w="28" w:type="dxa"/>
          <w:left w:w="28" w:type="dxa"/>
          <w:bottom w:w="28" w:type="dxa"/>
          <w:right w:w="28" w:type="dxa"/>
        </w:tblCellMar>
      </w:tblPr>
      <w:tblGrid>
        <w:gridCol w:w="2206"/>
        <w:gridCol w:w="146"/>
        <w:gridCol w:w="211"/>
        <w:gridCol w:w="676"/>
        <w:gridCol w:w="146"/>
        <w:gridCol w:w="146"/>
        <w:gridCol w:w="211"/>
        <w:gridCol w:w="676"/>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Supplemental balance sheet information related to leases is as follows:</w:t>
      </w:r>
    </w:p>
    <w:p>
      <w:pPr>
        <w:pStyle w:val="TextBody"/>
        <w:bidi w:val="0"/>
        <w:jc w:val="both"/>
        <w:rPr/>
      </w:pPr>
      <w:r>
        <w:rPr/>
        <w:t> </w:t>
      </w:r>
    </w:p>
    <w:tbl>
      <w:tblPr>
        <w:tblW w:w="9304" w:type="dxa"/>
        <w:jc w:val="left"/>
        <w:tblInd w:w="0" w:type="dxa"/>
        <w:tblLayout w:type="fixed"/>
        <w:tblCellMar>
          <w:top w:w="28" w:type="dxa"/>
          <w:left w:w="28" w:type="dxa"/>
          <w:bottom w:w="28" w:type="dxa"/>
          <w:right w:w="28" w:type="dxa"/>
        </w:tblCellMar>
      </w:tblPr>
      <w:tblGrid>
        <w:gridCol w:w="2621"/>
        <w:gridCol w:w="146"/>
        <w:gridCol w:w="3916"/>
        <w:gridCol w:w="146"/>
        <w:gridCol w:w="213"/>
        <w:gridCol w:w="682"/>
        <w:gridCol w:w="147"/>
        <w:gridCol w:w="147"/>
        <w:gridCol w:w="213"/>
        <w:gridCol w:w="682"/>
        <w:gridCol w:w="391"/>
      </w:tblGrid>
      <w:tr>
        <w:trPr/>
        <w:tc>
          <w:tcPr>
            <w:tcW w:w="2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Assets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54,540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ROU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54,889</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Liabilities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44,409</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56,142</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120" w:after="283"/>
        <w:jc w:val="both"/>
        <w:rPr>
          <w:rFonts w:ascii="Times New Roman" w:hAnsi="Times New Roman"/>
          <w:sz w:val="13"/>
        </w:rPr>
      </w:pPr>
      <w:r>
        <w:rPr>
          <w:rFonts w:ascii="Times New Roman" w:hAnsi="Times New Roman"/>
          <w:i/>
          <w:color w:val="000000"/>
          <w:sz w:val="13"/>
        </w:rPr>
        <w:t xml:space="preserve">(1) </w:t>
      </w:r>
      <w:r>
        <w:rPr>
          <w:rFonts w:ascii="Times New Roman" w:hAnsi="Times New Roman"/>
          <w:i/>
          <w:color w:val="000000"/>
          <w:sz w:val="20"/>
        </w:rPr>
        <w:t>The reduction in assets and liabilities primarily reflect the disposition of leases associated with the Company’s former North American Snacks Business.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Includes leases related to the personal care business that was reclassified as assets held for sale. See Note 4, Assets and Liabilities Held for Sale, for more information.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Additional information related to leases is as follows:</w:t>
      </w:r>
    </w:p>
    <w:tbl>
      <w:tblPr>
        <w:tblW w:w="8714" w:type="dxa"/>
        <w:jc w:val="left"/>
        <w:tblInd w:w="0" w:type="dxa"/>
        <w:tblLayout w:type="fixed"/>
        <w:tblCellMar>
          <w:top w:w="28" w:type="dxa"/>
          <w:left w:w="28" w:type="dxa"/>
          <w:bottom w:w="28" w:type="dxa"/>
          <w:right w:w="28" w:type="dxa"/>
        </w:tblCellMar>
      </w:tblPr>
      <w:tblGrid>
        <w:gridCol w:w="6061"/>
        <w:gridCol w:w="146"/>
        <w:gridCol w:w="211"/>
        <w:gridCol w:w="676"/>
        <w:gridCol w:w="271"/>
        <w:gridCol w:w="146"/>
        <w:gridCol w:w="211"/>
        <w:gridCol w:w="676"/>
        <w:gridCol w:w="316"/>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ROU assets obtained in exchange for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Operating leases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60"/>
        <w:jc w:val="both"/>
        <w:rPr>
          <w:rFonts w:ascii="Times New Roman" w:hAnsi="Times New Roman"/>
          <w:sz w:val="13"/>
        </w:rPr>
      </w:pPr>
      <w:r>
        <w:rPr>
          <w:rFonts w:ascii="Times New Roman" w:hAnsi="Times New Roman"/>
          <w:i/>
          <w:color w:val="000000"/>
          <w:sz w:val="13"/>
        </w:rPr>
        <w:t xml:space="preserve">(1) </w:t>
      </w:r>
      <w:r>
        <w:rPr>
          <w:rFonts w:ascii="Times New Roman" w:hAnsi="Times New Roman"/>
          <w:i/>
          <w:color w:val="000000"/>
          <w:sz w:val="20"/>
        </w:rPr>
        <w:t>Includes adjustment for termination of two operating leases during fiscal year ended June 30, 2025, which resulted in a reduction of ROU assets and lease liabilities of $5,346</w:t>
      </w:r>
      <w:r>
        <w:rPr>
          <w:rFonts w:ascii="Times New Roman" w:hAnsi="Times New Roman"/>
          <w:color w:val="000000"/>
          <w:sz w:val="13"/>
        </w:rPr>
        <w:t xml:space="preserve"> </w:t>
      </w:r>
      <w:r>
        <w:rPr>
          <w:rFonts w:ascii="Times New Roman" w:hAnsi="Times New Roman"/>
          <w:i/>
          <w:color w:val="000000"/>
          <w:sz w:val="20"/>
        </w:rPr>
        <w:t>and $4,037, respectively, and recognition of an accumulated gain of $1,309</w:t>
      </w:r>
      <w:r>
        <w:rPr>
          <w:rFonts w:ascii="Times New Roman" w:hAnsi="Times New Roman"/>
          <w:color w:val="000000"/>
          <w:sz w:val="13"/>
        </w:rPr>
        <w:t xml:space="preserve"> </w:t>
      </w:r>
      <w:r>
        <w:rPr>
          <w:rFonts w:ascii="Times New Roman" w:hAnsi="Times New Roman"/>
          <w:i/>
          <w:color w:val="000000"/>
          <w:sz w:val="20"/>
        </w:rPr>
        <w:t>related to lease terminations.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Maturities of lease liabilities as of June 30, 2026 were as follows:</w:t>
      </w:r>
    </w:p>
    <w:p>
      <w:pPr>
        <w:pStyle w:val="TextBody"/>
        <w:bidi w:val="0"/>
        <w:jc w:val="both"/>
        <w:rPr/>
      </w:pPr>
      <w:r>
        <w:rPr/>
        <w:t> </w:t>
      </w:r>
    </w:p>
    <w:tbl>
      <w:tblPr>
        <w:tblW w:w="6269" w:type="dxa"/>
        <w:jc w:val="left"/>
        <w:tblInd w:w="0" w:type="dxa"/>
        <w:tblLayout w:type="fixed"/>
        <w:tblCellMar>
          <w:top w:w="28" w:type="dxa"/>
          <w:left w:w="28" w:type="dxa"/>
          <w:bottom w:w="28" w:type="dxa"/>
          <w:right w:w="28" w:type="dxa"/>
        </w:tblCellMar>
      </w:tblPr>
      <w:tblGrid>
        <w:gridCol w:w="1931"/>
        <w:gridCol w:w="146"/>
        <w:gridCol w:w="310"/>
        <w:gridCol w:w="995"/>
        <w:gridCol w:w="146"/>
        <w:gridCol w:w="146"/>
        <w:gridCol w:w="374"/>
        <w:gridCol w:w="751"/>
        <w:gridCol w:w="146"/>
        <w:gridCol w:w="146"/>
        <w:gridCol w:w="211"/>
        <w:gridCol w:w="676"/>
        <w:gridCol w:w="291"/>
      </w:tblGrid>
      <w:tr>
        <w:trPr/>
        <w:tc>
          <w:tcPr>
            <w:tcW w:w="1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GOODWILL AND OTHER INTANGIBLE ASSETS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the changes in the carrying value of goodwill by reportable segment:</w:t>
      </w:r>
    </w:p>
    <w:p>
      <w:pPr>
        <w:pStyle w:val="TextBody"/>
        <w:bidi w:val="0"/>
        <w:jc w:val="left"/>
        <w:rPr/>
      </w:pPr>
      <w:r>
        <w:rPr/>
        <w:t> </w:t>
      </w:r>
    </w:p>
    <w:tbl>
      <w:tblPr>
        <w:tblW w:w="8325" w:type="dxa"/>
        <w:jc w:val="left"/>
        <w:tblInd w:w="0" w:type="dxa"/>
        <w:tblLayout w:type="fixed"/>
        <w:tblCellMar>
          <w:top w:w="28" w:type="dxa"/>
          <w:left w:w="28" w:type="dxa"/>
          <w:bottom w:w="28" w:type="dxa"/>
          <w:right w:w="28" w:type="dxa"/>
        </w:tblCellMar>
      </w:tblPr>
      <w:tblGrid>
        <w:gridCol w:w="3926"/>
        <w:gridCol w:w="146"/>
        <w:gridCol w:w="240"/>
        <w:gridCol w:w="960"/>
        <w:gridCol w:w="166"/>
        <w:gridCol w:w="146"/>
        <w:gridCol w:w="213"/>
        <w:gridCol w:w="853"/>
        <w:gridCol w:w="166"/>
        <w:gridCol w:w="146"/>
        <w:gridCol w:w="211"/>
        <w:gridCol w:w="841"/>
        <w:gridCol w:w="311"/>
      </w:tblGrid>
      <w:tr>
        <w:trPr/>
        <w:tc>
          <w:tcPr>
            <w:tcW w:w="3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Balance as of June 30, 2024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929,304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Divestiture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Reclassification of goodwill to held for sale</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6" w:type="dxa"/>
            <w:tcBorders/>
            <w:shd w:fill="CFF0FC"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Divestiture</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(57,082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The total carrying value of goodwill as of June 30, 2024 is reflected net of $134,277</w:t>
      </w:r>
      <w:r>
        <w:rPr>
          <w:rFonts w:ascii="Times New Roman" w:hAnsi="Times New Roman"/>
          <w:color w:val="000000"/>
          <w:sz w:val="20"/>
        </w:rPr>
        <w:t xml:space="preserve"> </w:t>
      </w:r>
      <w:r>
        <w:rPr>
          <w:rFonts w:ascii="Times New Roman" w:hAnsi="Times New Roman"/>
          <w:i/>
          <w:color w:val="000000"/>
          <w:sz w:val="20"/>
        </w:rPr>
        <w:t>of accumulated impairment charges, of which $7,700</w:t>
      </w:r>
      <w:r>
        <w:rPr>
          <w:rFonts w:ascii="Times New Roman" w:hAnsi="Times New Roman"/>
          <w:color w:val="000000"/>
          <w:sz w:val="20"/>
        </w:rPr>
        <w:t xml:space="preserve"> </w:t>
      </w:r>
      <w:r>
        <w:rPr>
          <w:rFonts w:ascii="Times New Roman" w:hAnsi="Times New Roman"/>
          <w:i/>
          <w:color w:val="000000"/>
          <w:sz w:val="20"/>
        </w:rPr>
        <w:t>is related to the North America reportable segment and $126,577</w:t>
      </w:r>
      <w:r>
        <w:rPr>
          <w:rFonts w:ascii="Times New Roman" w:hAnsi="Times New Roman"/>
          <w:color w:val="000000"/>
          <w:sz w:val="20"/>
        </w:rPr>
        <w:t xml:space="preserve"> </w:t>
      </w:r>
      <w:r>
        <w:rPr>
          <w:rFonts w:ascii="Times New Roman" w:hAnsi="Times New Roman"/>
          <w:i/>
          <w:color w:val="000000"/>
          <w:sz w:val="20"/>
        </w:rPr>
        <w:t>is related to the International reportable segment.</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lineRule="auto" w:line="360" w:before="120" w:after="283"/>
        <w:jc w:val="both"/>
        <w:rPr>
          <w:rFonts w:ascii="Times New Roman" w:hAnsi="Times New Roman"/>
          <w:sz w:val="13"/>
        </w:rPr>
      </w:pPr>
      <w:r>
        <w:rPr>
          <w:rFonts w:ascii="Times New Roman" w:hAnsi="Times New Roman"/>
          <w:i/>
          <w:color w:val="000000"/>
          <w:sz w:val="20"/>
        </w:rPr>
        <w:t>Represents the goodwill assigned to the ParmCrisps</w:t>
      </w:r>
      <w:r>
        <w:rPr>
          <w:rFonts w:ascii="Times New Roman" w:hAnsi="Times New Roman"/>
          <w:i/>
          <w:color w:val="000000"/>
          <w:sz w:val="13"/>
        </w:rPr>
        <w:t>®</w:t>
      </w:r>
      <w:r>
        <w:rPr>
          <w:rFonts w:ascii="Times New Roman" w:hAnsi="Times New Roman"/>
          <w:color w:val="000000"/>
          <w:sz w:val="13"/>
        </w:rPr>
        <w:t xml:space="preserve"> </w:t>
      </w:r>
      <w:r>
        <w:rPr>
          <w:rFonts w:ascii="Times New Roman" w:hAnsi="Times New Roman"/>
          <w:i/>
          <w:color w:val="000000"/>
          <w:sz w:val="20"/>
        </w:rPr>
        <w:t xml:space="preserve">business in connection with the divestiture of such business, which was ascribed on a relative fair value basis. See Note 5, Dispositions, for more information. </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(3)</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Represents the goodwill ascribed to the PC business in connection with the classification such business as held for sale. See Note 4, Assets and Liabilities Held for Sale, for more information.</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(4)</w:t>
      </w:r>
    </w:p>
    <w:p>
      <w:pPr>
        <w:pStyle w:val="TextBody"/>
        <w:bidi w:val="0"/>
        <w:spacing w:before="120" w:after="283"/>
        <w:jc w:val="both"/>
        <w:rPr>
          <w:rFonts w:ascii="Times New Roman" w:hAnsi="Times New Roman"/>
          <w:sz w:val="20"/>
        </w:rPr>
      </w:pPr>
      <w:r>
        <w:rPr>
          <w:rFonts w:ascii="Times New Roman" w:hAnsi="Times New Roman"/>
          <w:i/>
          <w:color w:val="000000"/>
          <w:sz w:val="20"/>
        </w:rPr>
        <w:t>During February 2026, the Company completed the divestiture of its North American Snacks Business. Goodwill of $57,082</w:t>
      </w:r>
      <w:r>
        <w:rPr>
          <w:rFonts w:ascii="Times New Roman" w:hAnsi="Times New Roman"/>
          <w:color w:val="000000"/>
          <w:sz w:val="20"/>
        </w:rPr>
        <w:t xml:space="preserve"> </w:t>
      </w:r>
      <w:r>
        <w:rPr>
          <w:rFonts w:ascii="Times New Roman" w:hAnsi="Times New Roman"/>
          <w:i/>
          <w:color w:val="000000"/>
          <w:sz w:val="20"/>
        </w:rPr>
        <w:t>was ascribed to the divested businesses on a relative fair value basis related to the North America reportable segment.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fiscal 2026, the Company recorded aggregated non-cash goodwill impairment charges of $38,495 within its North America segment and $154,724 within its International reportable segment as a result of goodwill impairment testing discussed below. Set forth is a table of each reporting unit’s goodwill carrying value as of, and impairment charges and other activity recorded during the periods presented:</w:t>
      </w:r>
    </w:p>
    <w:tbl>
      <w:tblPr>
        <w:tblW w:w="9046" w:type="dxa"/>
        <w:jc w:val="left"/>
        <w:tblInd w:w="0" w:type="dxa"/>
        <w:tblLayout w:type="fixed"/>
        <w:tblCellMar>
          <w:top w:w="28" w:type="dxa"/>
          <w:left w:w="28" w:type="dxa"/>
          <w:bottom w:w="28" w:type="dxa"/>
          <w:right w:w="28" w:type="dxa"/>
        </w:tblCellMar>
      </w:tblPr>
      <w:tblGrid>
        <w:gridCol w:w="4916"/>
        <w:gridCol w:w="146"/>
        <w:gridCol w:w="196"/>
        <w:gridCol w:w="691"/>
        <w:gridCol w:w="166"/>
        <w:gridCol w:w="146"/>
        <w:gridCol w:w="196"/>
        <w:gridCol w:w="691"/>
        <w:gridCol w:w="166"/>
        <w:gridCol w:w="146"/>
        <w:gridCol w:w="291"/>
        <w:gridCol w:w="984"/>
        <w:gridCol w:w="311"/>
      </w:tblGrid>
      <w:tr>
        <w:trPr/>
        <w:tc>
          <w:tcPr>
            <w:tcW w:w="4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7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Reporting Unit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Western Europe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Divestiture during three months ended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charge during 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(42,293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4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2025, the Company had qualitatively or quantitatively tested all goodwill associated with its reporting units for impairment and, as previously disclosed, determined that the goodwill related to the U.S. and U.K. reporting units remained at risk for potential future impairment since such reporting units were impaired in fiscal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Second quarter of fiscal 2026</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second quarter of fiscal 2026, as a result of a continued decline in the projected performance and cash flows of the U.S. reporting unit, and in connection with the pending agreement to sell its North American Snacks Business, the Company completed an interim quantitative impairment test of goodwill. As a result of a continued decline in net sales of Hartley’s</w:t>
      </w:r>
      <w:r>
        <w:rPr>
          <w:rFonts w:ascii="Times New Roman" w:hAnsi="Times New Roman"/>
          <w:color w:val="000000"/>
          <w:sz w:val="13"/>
        </w:rPr>
        <w:t xml:space="preserve">® </w:t>
      </w:r>
      <w:r>
        <w:rPr>
          <w:rFonts w:ascii="Times New Roman" w:hAnsi="Times New Roman"/>
          <w:color w:val="000000"/>
          <w:sz w:val="20"/>
        </w:rPr>
        <w:t>jelly, the Company conducted an interim quantitative impairment test for the Hartley’s</w:t>
      </w:r>
      <w:r>
        <w:rPr>
          <w:rFonts w:ascii="Times New Roman" w:hAnsi="Times New Roman"/>
          <w:color w:val="000000"/>
          <w:sz w:val="13"/>
        </w:rPr>
        <w:t xml:space="preserve">® </w:t>
      </w:r>
      <w:r>
        <w:rPr>
          <w:rFonts w:ascii="Times New Roman" w:hAnsi="Times New Roman"/>
          <w:color w:val="000000"/>
          <w:sz w:val="20"/>
        </w:rPr>
        <w:t>jelly indefinite-lived tradename and recognized an impairment. Due to the recognition of an intangible asset impairment charge within the United Kingdom (“U.K.”) reporting unit in the International reportable segment and a continued decline in the projected performance and cash flows of the U.K. reporting unit, the Company also completed an interim quantitative impairment test of goodwill. Consequently, the</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Company recognized non-cash impairment charges of $38,495 and $81,413 to reduce the carrying values of the U.S. and U.K. reporting units goodwill, respectively. The fair value was estimated using the Discounted Cash Flow (“DCF”) method income approach as such method was determined to be more representative of future performance from a market participant point of view. The U.K. reporting unit’s impairment charge reflected the sales volume decline that the Company continued to experience. The discount rate in both quantitative tests also reflected an increase in the small stock premium related to a decline in the Company’s market capitalization. For the Western Europe and Ella’s Kitchen UK reporting units, the Company performed a qualitative evaluation to assess factors to determine whether it is more likely than not that the fair value of each reporting unit is less than its carrying amount, including goodwill. The Company concluded that the qualitatively tested reporting units’ estimated fair values exceeded their carrying amounts. The goodwill related to the U.S. and U.K. reporting units remained at risk of potential impairment if the fair value of these reporting units, and their associated assets, decreased in value due to the amount and timing of expected future cash flows, decreased customer demand for products, an inability to execute management’s business strategies, or general market conditions, such as economic downturns, and changes in interest rates, including discount rates.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Third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third quarter of fiscal 2026, as a result of a decline in the projected performance and expected future cash flows due to higher inflation resulting from the impact of the Iran conflict, the Company completed interim quantitative impairment tests of goodwill for all of its international reporting units: U.K., Western Europe and Ella’s Kitchen UK. For the U.S. reporting unit, the Company performed a qualitative evaluation to assess factors to determine whether it is more likely than not that the fair value of the reporting unit is less than its carrying amount, including goodwill, and concluded that the U.S. reporting unit’s estimated fair value exceeded its carrying amount. As of March 31, 2026, the U.K. reporting unit’s carrying amount exceeded its estimated fair value, resulting in the recognition of a non-cash impairment charge of $31,018 to reduce the carrying value of the U.K. reporting unit goodwill to nil. The U.K. reporting unit’s impairment charges reflected a decline in sales volume and further compression in Adjusted EBITDA that the Company continued to experience. The fair values for the quantitatively tested reporting units were estimated using a blended approach of the DCF method income approach and the Guideline Public Company Methodology (“GPCM”) market approach. The estimated fair values of the Western Europe and Ella’s Kitchen UK reporting units exceeded their carrying amounts by 9.4% and 117.8%, respectively. The discount rate in the quantitative tests for the Western Europe and Ella’s Kitchen UK reporting units also reflected an increase in the small stock premium related to a decline in the Company’s market capitalization. The goodwill related to the U.S. and Western Europe reporting units remained at risk of potential impairment if the fair values of these reporting units, and their associated assets, decreased in value due to the amount and timing of expected future cash flows, decreased customer demand for products, an inability to execute management’s business strategies, or general market conditions, such as economic downturns, and changes in interest rates, including discount rates.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Annual impairment testing as of April 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 Company’s annual impairment testing date is on April 1, 2026 (the first day of the fourth quarter of fiscal 2026), the previously aforementioned quantitative tests for Western Europe and Ella’s Kitchen UK reporting units were utilized for the annual impairment test given there were no significant changes to the risks of these reporting units between March 31, 2026 and April 1, 2026. For the U.S. reporting unit, the previously aforementioned qualitative assessment for the U.S. reporting unit was utilized for the annual impairment test given there were no significant changes to the risks of these reporting units between March 31, 2026 and April 1, 2026.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Fourth quarter of fiscal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June 30, 2026, as a result of a continued decline in the projected performance and cash flows of the Western Europe reporting unit on account of continued higher inflation and changing consumer preference from branded to lower margin private labels, and in connection with the pending agreement to sell its International Business, the Company completed an interim quantitative impairment test of goodwill. The Company also performed a qualitative assessment of its U.S. and Ella’s Kitchen U.K. reporting units and concluded that the estimated fair values of such reporting units exceeded their respective carrying amounts, which was consistent with the conclusions reached on the annual quantitative impairment testing date of April 1, 2026. As of June 30, 2026, the Western Europe reporting unit’s carrying amount exceeded its estimated fair value of $89,112, </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resulting in the recognition of a non-cash impairment charge of $42,293 to reduce the carrying value of the Western Europe reporting unit goodwill to nil. The Western Europe reporting unit’s impairment charges primarily reflected a decline in forecasted Adjusted EBITDA. The fair value was estimated using the Discounted Cash Flow (“DCF”) method income approach as such method was determined to be more representative of future performance from a market participant point of view. Furthermore, given the continued known decline in the Company’s Western Europe forecasts, the discount rate utilized to measure risk in the DCF methodology increased.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Subsequent to these impairment charges, the remaining goodwill at the U.S. reporting unit was $216,744 as of June 30, 2026. There was no remaining goodwill at the U.K. and Western Europe reporting units as of June 30, 2026. The goodwill related to the U.S. reporting unit is at risk of potential impairment if the fair value of the reporting unit, and its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fiscal 2025, the Company recorded aggregated non-cash goodwill impairment charges of $357,679 within its North America segment and $71,203 within our International reportable segment.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Intangible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includes the gross carrying amount and accumulated amortization, where applicable, for intangible assets, excluding goodwill:</w:t>
      </w:r>
    </w:p>
    <w:tbl>
      <w:tblPr>
        <w:tblW w:w="5719" w:type="dxa"/>
        <w:jc w:val="left"/>
        <w:tblInd w:w="0" w:type="dxa"/>
        <w:tblLayout w:type="fixed"/>
        <w:tblCellMar>
          <w:top w:w="28" w:type="dxa"/>
          <w:left w:w="28" w:type="dxa"/>
          <w:bottom w:w="28" w:type="dxa"/>
          <w:right w:w="28" w:type="dxa"/>
        </w:tblCellMar>
      </w:tblPr>
      <w:tblGrid>
        <w:gridCol w:w="2846"/>
        <w:gridCol w:w="146"/>
        <w:gridCol w:w="211"/>
        <w:gridCol w:w="841"/>
        <w:gridCol w:w="166"/>
        <w:gridCol w:w="146"/>
        <w:gridCol w:w="211"/>
        <w:gridCol w:w="841"/>
        <w:gridCol w:w="311"/>
      </w:tblGrid>
      <w:tr>
        <w:trPr/>
        <w:tc>
          <w:tcPr>
            <w:tcW w:w="2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Trademarks and tradenames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179,282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46"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Other intangibles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159,162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(127,539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amortized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210,905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(1)</w:t>
      </w:r>
    </w:p>
    <w:p>
      <w:pPr>
        <w:pStyle w:val="TextBody"/>
        <w:bidi w:val="0"/>
        <w:spacing w:before="120" w:after="283"/>
        <w:jc w:val="both"/>
        <w:rPr>
          <w:rFonts w:ascii="Times New Roman" w:hAnsi="Times New Roman"/>
          <w:sz w:val="20"/>
        </w:rPr>
      </w:pPr>
      <w:r>
        <w:rPr>
          <w:rFonts w:ascii="Times New Roman" w:hAnsi="Times New Roman"/>
          <w:i/>
          <w:color w:val="000000"/>
          <w:sz w:val="20"/>
        </w:rPr>
        <w:t>The gross carrying value of trademarks and tradenames</w:t>
      </w:r>
      <w:r>
        <w:rPr>
          <w:rFonts w:ascii="Times New Roman" w:hAnsi="Times New Roman"/>
          <w:color w:val="000000"/>
          <w:sz w:val="20"/>
        </w:rPr>
        <w:t xml:space="preserve"> </w:t>
      </w:r>
      <w:r>
        <w:rPr>
          <w:rFonts w:ascii="Times New Roman" w:hAnsi="Times New Roman"/>
          <w:i/>
          <w:color w:val="000000"/>
          <w:sz w:val="20"/>
        </w:rPr>
        <w:t>is reflected net of nil</w:t>
      </w:r>
      <w:r>
        <w:rPr>
          <w:rFonts w:ascii="Times New Roman" w:hAnsi="Times New Roman"/>
          <w:color w:val="000000"/>
          <w:sz w:val="20"/>
        </w:rPr>
        <w:t xml:space="preserve"> </w:t>
      </w:r>
      <w:r>
        <w:rPr>
          <w:rFonts w:ascii="Times New Roman" w:hAnsi="Times New Roman"/>
          <w:i/>
          <w:color w:val="000000"/>
          <w:sz w:val="20"/>
        </w:rPr>
        <w:t>and $275,990</w:t>
      </w:r>
      <w:r>
        <w:rPr>
          <w:rFonts w:ascii="Times New Roman" w:hAnsi="Times New Roman"/>
          <w:color w:val="000000"/>
          <w:sz w:val="20"/>
        </w:rPr>
        <w:t xml:space="preserve"> </w:t>
      </w:r>
      <w:r>
        <w:rPr>
          <w:rFonts w:ascii="Times New Roman" w:hAnsi="Times New Roman"/>
          <w:i/>
          <w:color w:val="000000"/>
          <w:sz w:val="20"/>
        </w:rPr>
        <w:t>of accumulated impairment charges as of June 30, 2026 and 2025, respectively. Effective April 1, 2026, as part of its annual impairment testing and in connection with the ongoing strategic review and business strategy to focus on simplifying the organization</w:t>
      </w:r>
      <w:r>
        <w:rPr>
          <w:rFonts w:ascii="Times New Roman" w:hAnsi="Times New Roman"/>
          <w:color w:val="000000"/>
          <w:sz w:val="20"/>
        </w:rPr>
        <w:t xml:space="preserve"> </w:t>
      </w:r>
      <w:r>
        <w:rPr>
          <w:rFonts w:ascii="Times New Roman" w:hAnsi="Times New Roman"/>
          <w:i/>
          <w:color w:val="000000"/>
          <w:sz w:val="20"/>
        </w:rPr>
        <w:t>and its portfolio, the Company changed the estimated useful life of its remaining intangible assets and reclassified them from indefinite to definite. The carrying value of such intangible assets as of June 30, 2026 was $67,773.</w:t>
      </w:r>
    </w:p>
    <w:p>
      <w:pPr>
        <w:pStyle w:val="TextBody"/>
        <w:bidi w:val="0"/>
        <w:spacing w:lineRule="auto" w:line="360" w:before="120" w:after="283"/>
        <w:jc w:val="both"/>
        <w:rPr>
          <w:rFonts w:ascii="Times New Roman" w:hAnsi="Times New Roman"/>
          <w:i/>
          <w:color w:val="000000"/>
          <w:sz w:val="20"/>
        </w:rPr>
      </w:pPr>
      <w:r>
        <w:rPr>
          <w:rFonts w:ascii="Times New Roman" w:hAnsi="Times New Roman"/>
          <w:i/>
          <w:color w:val="000000"/>
          <w:sz w:val="20"/>
        </w:rPr>
        <w:t>(2)</w:t>
      </w:r>
    </w:p>
    <w:p>
      <w:pPr>
        <w:pStyle w:val="TextBody"/>
        <w:bidi w:val="0"/>
        <w:spacing w:before="120" w:after="283"/>
        <w:jc w:val="both"/>
        <w:rPr>
          <w:rFonts w:ascii="Times New Roman" w:hAnsi="Times New Roman"/>
          <w:sz w:val="20"/>
        </w:rPr>
      </w:pPr>
      <w:r>
        <w:rPr>
          <w:rFonts w:ascii="Times New Roman" w:hAnsi="Times New Roman"/>
          <w:i/>
          <w:color w:val="000000"/>
          <w:sz w:val="20"/>
        </w:rPr>
        <w:t>The reduction in carrying value of other intangible assets as of June 30, 2026 reflected accumulated non-cash impairment charges of $320,931</w:t>
      </w:r>
      <w:r>
        <w:rPr>
          <w:rFonts w:ascii="Times New Roman" w:hAnsi="Times New Roman"/>
          <w:color w:val="000000"/>
          <w:sz w:val="20"/>
        </w:rPr>
        <w:t xml:space="preserve"> </w:t>
      </w:r>
      <w:r>
        <w:rPr>
          <w:rFonts w:ascii="Times New Roman" w:hAnsi="Times New Roman"/>
          <w:i/>
          <w:color w:val="000000"/>
          <w:sz w:val="20"/>
        </w:rPr>
        <w:t>and $30,326</w:t>
      </w:r>
      <w:r>
        <w:rPr>
          <w:rFonts w:ascii="Times New Roman" w:hAnsi="Times New Roman"/>
          <w:color w:val="000000"/>
          <w:sz w:val="20"/>
        </w:rPr>
        <w:t xml:space="preserve"> </w:t>
      </w:r>
      <w:r>
        <w:rPr>
          <w:rFonts w:ascii="Times New Roman" w:hAnsi="Times New Roman"/>
          <w:i/>
          <w:color w:val="000000"/>
          <w:sz w:val="20"/>
        </w:rPr>
        <w:t xml:space="preserve">as of June 30, 2026 and June 30, 2025, respectively. As noted above, the Company changed the estimated useful life of its remaining intangible assets and reclassified them from indefinite to definite. The carrying value of such intangible assets as of June 30, 2026 was $147,354. </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2026, as a result of a continued decline in actual and projected net sales driven by challenges related to regaining Earth’s Best</w:t>
      </w:r>
      <w:r>
        <w:rPr>
          <w:rFonts w:ascii="Times New Roman" w:hAnsi="Times New Roman"/>
          <w:color w:val="000000"/>
          <w:sz w:val="13"/>
        </w:rPr>
        <w:t xml:space="preserve">® </w:t>
      </w:r>
      <w:r>
        <w:rPr>
          <w:rFonts w:ascii="Times New Roman" w:hAnsi="Times New Roman"/>
          <w:color w:val="000000"/>
          <w:sz w:val="20"/>
        </w:rPr>
        <w:t>formula distribution, the Company conducted an interim quantitative impairment test for its Earth’s Best</w:t>
      </w:r>
      <w:r>
        <w:rPr>
          <w:rFonts w:ascii="Times New Roman" w:hAnsi="Times New Roman"/>
          <w:color w:val="000000"/>
          <w:sz w:val="13"/>
        </w:rPr>
        <w:t xml:space="preserve">® </w:t>
      </w:r>
      <w:r>
        <w:rPr>
          <w:rFonts w:ascii="Times New Roman" w:hAnsi="Times New Roman"/>
          <w:color w:val="000000"/>
          <w:sz w:val="20"/>
        </w:rPr>
        <w:t>Organic indefinite-lived tradename in its North America reportable segment. The Company concluded that the indefinite-lived intangible asset carrying amount exceeded its estimated fair value and recorded a non-cash impairment charge of $2,038</w:t>
      </w:r>
      <w:r>
        <w:rPr>
          <w:rFonts w:ascii="Times New Roman" w:hAnsi="Times New Roman"/>
          <w:color w:val="000000"/>
          <w:sz w:val="13"/>
        </w:rPr>
        <w:t xml:space="preserve"> </w:t>
      </w:r>
      <w:r>
        <w:rPr>
          <w:rFonts w:ascii="Times New Roman" w:hAnsi="Times New Roman"/>
          <w:color w:val="000000"/>
          <w:sz w:val="20"/>
        </w:rPr>
        <w:t>during the three months ended March 31, 2026, which was recorded within long-lived asset and intangibles impairment on the consolidated statement of operations. The tradename was subsequently reclassified to definite-lived and ascribed a useful life of 10</w:t>
      </w:r>
      <w:r>
        <w:rPr>
          <w:rFonts w:ascii="Times New Roman" w:hAnsi="Times New Roman"/>
          <w:color w:val="000000"/>
          <w:sz w:val="13"/>
        </w:rPr>
        <w:t xml:space="preserve"> </w:t>
      </w:r>
      <w:r>
        <w:rPr>
          <w:rFonts w:ascii="Times New Roman" w:hAnsi="Times New Roman"/>
          <w:color w:val="000000"/>
          <w:sz w:val="20"/>
        </w:rPr>
        <w:t>years.</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2026, as a result of a decline in projected net sales driven by shifting consumer behavior towards private label soup, the Company conducted an interim quantitative impairment test for its soup indefinite-lived tradenames (Cully &amp; Sully</w:t>
      </w:r>
      <w:r>
        <w:rPr>
          <w:rFonts w:ascii="Times New Roman" w:hAnsi="Times New Roman"/>
          <w:color w:val="000000"/>
          <w:sz w:val="13"/>
        </w:rPr>
        <w:t>®</w:t>
      </w:r>
      <w:r>
        <w:rPr>
          <w:rFonts w:ascii="Times New Roman" w:hAnsi="Times New Roman"/>
          <w:color w:val="000000"/>
          <w:sz w:val="20"/>
        </w:rPr>
        <w:t>, Yorkshire Provender</w:t>
      </w:r>
      <w:r>
        <w:rPr>
          <w:rFonts w:ascii="Times New Roman" w:hAnsi="Times New Roman"/>
          <w:color w:val="000000"/>
          <w:sz w:val="13"/>
        </w:rPr>
        <w:t>®</w:t>
      </w:r>
      <w:r>
        <w:rPr>
          <w:rFonts w:ascii="Times New Roman" w:hAnsi="Times New Roman"/>
          <w:color w:val="000000"/>
          <w:sz w:val="20"/>
        </w:rPr>
        <w:t>, and New Covent Garden</w:t>
      </w:r>
      <w:r>
        <w:rPr>
          <w:rFonts w:ascii="Times New Roman" w:hAnsi="Times New Roman"/>
          <w:color w:val="000000"/>
          <w:sz w:val="13"/>
        </w:rPr>
        <w:t xml:space="preserve">® </w:t>
      </w:r>
      <w:r>
        <w:rPr>
          <w:rFonts w:ascii="Times New Roman" w:hAnsi="Times New Roman"/>
          <w:color w:val="000000"/>
          <w:sz w:val="20"/>
        </w:rPr>
        <w:t>soups). The Company concluded that the estimated fair value exceeded the carrying amount by 8.0%. These tradenames were subsequently reclassified to definite-lived</w:t>
      </w:r>
      <w:r>
        <w:rPr>
          <w:rFonts w:ascii="Times New Roman" w:hAnsi="Times New Roman"/>
          <w:color w:val="000000"/>
          <w:sz w:val="13"/>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and ascribed a useful life of 10 years. The soup indefinite-lived intangible assets are part of the International reportable segment and had a remaining aggregate carrying value of $22,702 as of June 30, 2026.</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fiscal year ended June 30, 2026, the Company conducted an interim quantitative impairment test for its Ella’s Kitchen</w:t>
      </w:r>
      <w:r>
        <w:rPr>
          <w:rFonts w:ascii="Times New Roman" w:hAnsi="Times New Roman"/>
          <w:color w:val="000000"/>
          <w:sz w:val="13"/>
        </w:rPr>
        <w:t xml:space="preserve">® </w:t>
      </w:r>
      <w:r>
        <w:rPr>
          <w:rFonts w:ascii="Times New Roman" w:hAnsi="Times New Roman"/>
          <w:color w:val="000000"/>
          <w:sz w:val="20"/>
        </w:rPr>
        <w:t>baby and kids foods and Hartley’s</w:t>
      </w:r>
      <w:r>
        <w:rPr>
          <w:rFonts w:ascii="Times New Roman" w:hAnsi="Times New Roman"/>
          <w:color w:val="000000"/>
          <w:sz w:val="13"/>
        </w:rPr>
        <w:t xml:space="preserve">® </w:t>
      </w:r>
      <w:r>
        <w:rPr>
          <w:rFonts w:ascii="Times New Roman" w:hAnsi="Times New Roman"/>
          <w:color w:val="000000"/>
          <w:sz w:val="20"/>
        </w:rPr>
        <w:t>jelly tradenames and recorded a non-cash impairment charge of $10,583</w:t>
      </w:r>
      <w:r>
        <w:rPr>
          <w:rFonts w:ascii="Times New Roman" w:hAnsi="Times New Roman"/>
          <w:color w:val="000000"/>
          <w:sz w:val="13"/>
        </w:rPr>
        <w:t xml:space="preserve"> </w:t>
      </w:r>
      <w:r>
        <w:rPr>
          <w:rFonts w:ascii="Times New Roman" w:hAnsi="Times New Roman"/>
          <w:color w:val="000000"/>
          <w:sz w:val="20"/>
        </w:rPr>
        <w:t>for Hartley’s</w:t>
      </w:r>
      <w:r>
        <w:rPr>
          <w:rFonts w:ascii="Times New Roman" w:hAnsi="Times New Roman"/>
          <w:color w:val="000000"/>
          <w:sz w:val="13"/>
        </w:rPr>
        <w:t xml:space="preserve">® </w:t>
      </w:r>
      <w:r>
        <w:rPr>
          <w:rFonts w:ascii="Times New Roman" w:hAnsi="Times New Roman"/>
          <w:color w:val="000000"/>
          <w:sz w:val="20"/>
        </w:rPr>
        <w:t>jelly indefinite-lived tradename. The estimated fair value of the Ella’s Kitchen</w:t>
      </w:r>
      <w:r>
        <w:rPr>
          <w:rFonts w:ascii="Times New Roman" w:hAnsi="Times New Roman"/>
          <w:color w:val="000000"/>
          <w:sz w:val="13"/>
        </w:rPr>
        <w:t xml:space="preserve">® </w:t>
      </w:r>
      <w:r>
        <w:rPr>
          <w:rFonts w:ascii="Times New Roman" w:hAnsi="Times New Roman"/>
          <w:color w:val="000000"/>
          <w:sz w:val="20"/>
        </w:rPr>
        <w:t>tradename exceeded its carrying amount by 16.5%. These tradenames were subsequently reclassified to definite-lived and ascribed a useful life of 10</w:t>
      </w:r>
      <w:r>
        <w:rPr>
          <w:rFonts w:ascii="Times New Roman" w:hAnsi="Times New Roman"/>
          <w:color w:val="000000"/>
          <w:sz w:val="13"/>
        </w:rPr>
        <w:t xml:space="preserve"> </w:t>
      </w:r>
      <w:r>
        <w:rPr>
          <w:rFonts w:ascii="Times New Roman" w:hAnsi="Times New Roman"/>
          <w:color w:val="000000"/>
          <w:sz w:val="20"/>
        </w:rPr>
        <w:t>years. Such tradenames are part of the International reportable segment and have remaining carrying values of $33,528</w:t>
      </w:r>
      <w:r>
        <w:rPr>
          <w:rFonts w:ascii="Times New Roman" w:hAnsi="Times New Roman"/>
          <w:color w:val="000000"/>
          <w:sz w:val="13"/>
        </w:rPr>
        <w:t xml:space="preserve"> </w:t>
      </w:r>
      <w:r>
        <w:rPr>
          <w:rFonts w:ascii="Times New Roman" w:hAnsi="Times New Roman"/>
          <w:color w:val="000000"/>
          <w:sz w:val="20"/>
        </w:rPr>
        <w:t>and $36,553, respectively, as of June 30, 2026.</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fourth quarter of fiscal 2025, the Company recorded an aggregate non-cash impairment charge</w:t>
      </w:r>
      <w:r>
        <w:rPr>
          <w:rFonts w:ascii="Times New Roman" w:hAnsi="Times New Roman"/>
          <w:color w:val="000000"/>
          <w:sz w:val="13"/>
        </w:rPr>
        <w:t xml:space="preserve"> </w:t>
      </w:r>
      <w:r>
        <w:rPr>
          <w:rFonts w:ascii="Times New Roman" w:hAnsi="Times New Roman"/>
          <w:color w:val="000000"/>
          <w:sz w:val="20"/>
        </w:rPr>
        <w:t>of $21,100</w:t>
      </w:r>
      <w:r>
        <w:rPr>
          <w:rFonts w:ascii="Times New Roman" w:hAnsi="Times New Roman"/>
          <w:color w:val="000000"/>
          <w:sz w:val="13"/>
        </w:rPr>
        <w:t xml:space="preserve"> </w:t>
      </w:r>
      <w:r>
        <w:rPr>
          <w:rFonts w:ascii="Times New Roman" w:hAnsi="Times New Roman"/>
          <w:color w:val="000000"/>
          <w:sz w:val="20"/>
        </w:rPr>
        <w:t>related to its Sensible Portions</w:t>
      </w:r>
      <w:r>
        <w:rPr>
          <w:rFonts w:ascii="Times New Roman" w:hAnsi="Times New Roman"/>
          <w:color w:val="000000"/>
          <w:sz w:val="13"/>
        </w:rPr>
        <w:t xml:space="preserve">® </w:t>
      </w:r>
      <w:r>
        <w:rPr>
          <w:rFonts w:ascii="Times New Roman" w:hAnsi="Times New Roman"/>
          <w:color w:val="000000"/>
          <w:sz w:val="20"/>
        </w:rPr>
        <w:t>and Imagine</w:t>
      </w:r>
      <w:r>
        <w:rPr>
          <w:rFonts w:ascii="Times New Roman" w:hAnsi="Times New Roman"/>
          <w:color w:val="000000"/>
          <w:sz w:val="13"/>
        </w:rPr>
        <w:t xml:space="preserve">® </w:t>
      </w:r>
      <w:r>
        <w:rPr>
          <w:rFonts w:ascii="Times New Roman" w:hAnsi="Times New Roman"/>
          <w:color w:val="000000"/>
          <w:sz w:val="20"/>
        </w:rPr>
        <w:t>tradenames. The assets were part of the North America reportable segment.</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third quarter of fiscal 2025, the Company recorded a non-cash impairment charge of $960</w:t>
      </w:r>
      <w:r>
        <w:rPr>
          <w:rFonts w:ascii="Times New Roman" w:hAnsi="Times New Roman"/>
          <w:color w:val="000000"/>
          <w:sz w:val="13"/>
        </w:rPr>
        <w:t xml:space="preserve"> </w:t>
      </w:r>
      <w:r>
        <w:rPr>
          <w:rFonts w:ascii="Times New Roman" w:hAnsi="Times New Roman"/>
          <w:color w:val="000000"/>
          <w:sz w:val="20"/>
        </w:rPr>
        <w:t>within its North America reportable segment related to its Health Valley</w:t>
      </w:r>
      <w:r>
        <w:rPr>
          <w:rFonts w:ascii="Times New Roman" w:hAnsi="Times New Roman"/>
          <w:color w:val="000000"/>
          <w:sz w:val="13"/>
        </w:rPr>
        <w:t xml:space="preserve">® </w:t>
      </w:r>
      <w:r>
        <w:rPr>
          <w:rFonts w:ascii="Times New Roman" w:hAnsi="Times New Roman"/>
          <w:color w:val="000000"/>
          <w:sz w:val="20"/>
        </w:rPr>
        <w:t>trademark. The asset was part of the North America reportable segment and had no</w:t>
      </w:r>
      <w:r>
        <w:rPr>
          <w:rFonts w:ascii="Times New Roman" w:hAnsi="Times New Roman"/>
          <w:color w:val="000000"/>
          <w:sz w:val="13"/>
        </w:rPr>
        <w:t xml:space="preserve"> </w:t>
      </w:r>
      <w:r>
        <w:rPr>
          <w:rFonts w:ascii="Times New Roman" w:hAnsi="Times New Roman"/>
          <w:color w:val="000000"/>
          <w:sz w:val="20"/>
        </w:rPr>
        <w:t>remaining carrying value as of June 30, 2025.</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second quarter of fiscal 2025, the Company recorded a non-cash impairment charge of $15,733</w:t>
      </w:r>
      <w:r>
        <w:rPr>
          <w:rFonts w:ascii="Times New Roman" w:hAnsi="Times New Roman"/>
          <w:color w:val="000000"/>
          <w:sz w:val="13"/>
        </w:rPr>
        <w:t xml:space="preserve"> </w:t>
      </w:r>
      <w:r>
        <w:rPr>
          <w:rFonts w:ascii="Times New Roman" w:hAnsi="Times New Roman"/>
          <w:color w:val="000000"/>
          <w:sz w:val="20"/>
        </w:rPr>
        <w:t>within its North America reportable segment. Non-cash impairment charges of $12,085</w:t>
      </w:r>
      <w:r>
        <w:rPr>
          <w:rFonts w:ascii="Times New Roman" w:hAnsi="Times New Roman"/>
          <w:color w:val="000000"/>
          <w:sz w:val="13"/>
        </w:rPr>
        <w:t xml:space="preserve"> </w:t>
      </w:r>
      <w:r>
        <w:rPr>
          <w:rFonts w:ascii="Times New Roman" w:hAnsi="Times New Roman"/>
          <w:color w:val="000000"/>
          <w:sz w:val="20"/>
        </w:rPr>
        <w:t>were related to the PC intangible assets, primarily Avalon Organics</w:t>
      </w:r>
      <w:r>
        <w:rPr>
          <w:rFonts w:ascii="Times New Roman" w:hAnsi="Times New Roman"/>
          <w:color w:val="000000"/>
          <w:sz w:val="13"/>
        </w:rPr>
        <w:t>®</w:t>
      </w:r>
      <w:r>
        <w:rPr>
          <w:rFonts w:ascii="Times New Roman" w:hAnsi="Times New Roman"/>
          <w:color w:val="000000"/>
          <w:sz w:val="20"/>
        </w:rPr>
        <w:t>, JASON</w:t>
      </w:r>
      <w:r>
        <w:rPr>
          <w:rFonts w:ascii="Times New Roman" w:hAnsi="Times New Roman"/>
          <w:color w:val="000000"/>
          <w:sz w:val="13"/>
        </w:rPr>
        <w:t>®</w:t>
      </w:r>
      <w:r>
        <w:rPr>
          <w:rFonts w:ascii="Times New Roman" w:hAnsi="Times New Roman"/>
          <w:color w:val="000000"/>
          <w:sz w:val="20"/>
        </w:rPr>
        <w:t>, and Live Clean</w:t>
      </w:r>
      <w:r>
        <w:rPr>
          <w:rFonts w:ascii="Times New Roman" w:hAnsi="Times New Roman"/>
          <w:color w:val="000000"/>
          <w:sz w:val="13"/>
        </w:rPr>
        <w:t xml:space="preserve">® </w:t>
      </w:r>
      <w:r>
        <w:rPr>
          <w:rFonts w:ascii="Times New Roman" w:hAnsi="Times New Roman"/>
          <w:color w:val="000000"/>
          <w:sz w:val="20"/>
        </w:rPr>
        <w:t>trademarks and tradenames and $3,648</w:t>
      </w:r>
      <w:r>
        <w:rPr>
          <w:rFonts w:ascii="Times New Roman" w:hAnsi="Times New Roman"/>
          <w:color w:val="000000"/>
          <w:sz w:val="13"/>
        </w:rPr>
        <w:t xml:space="preserve"> </w:t>
      </w:r>
      <w:r>
        <w:rPr>
          <w:rFonts w:ascii="Times New Roman" w:hAnsi="Times New Roman"/>
          <w:color w:val="000000"/>
          <w:sz w:val="20"/>
        </w:rPr>
        <w:t>was related to Belvedere trademark and customer relationships.</w:t>
      </w:r>
      <w:r>
        <w:rPr>
          <w:rFonts w:ascii="Times New Roman" w:hAnsi="Times New Roman"/>
          <w:color w:val="000000"/>
          <w:sz w:val="13"/>
        </w:rPr>
        <w:t xml:space="preserve"> </w:t>
      </w:r>
      <w:r>
        <w:rPr>
          <w:rFonts w:ascii="Times New Roman" w:hAnsi="Times New Roman"/>
          <w:color w:val="000000"/>
          <w:sz w:val="20"/>
        </w:rPr>
        <w:t>The assets are part of the North America reportable segment and had no</w:t>
      </w:r>
      <w:r>
        <w:rPr>
          <w:rFonts w:ascii="Times New Roman" w:hAnsi="Times New Roman"/>
          <w:color w:val="000000"/>
          <w:sz w:val="13"/>
        </w:rPr>
        <w:t xml:space="preserve"> </w:t>
      </w:r>
      <w:r>
        <w:rPr>
          <w:rFonts w:ascii="Times New Roman" w:hAnsi="Times New Roman"/>
          <w:color w:val="000000"/>
          <w:sz w:val="20"/>
        </w:rPr>
        <w:t>remaining carrying value as of June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Non-cash impairment charges, recorded within long-lived asset and intangibles asset impairment on the consolidated statements of operations, for the fiscal years ended June 30, 2026 and June 30, 2025 were as follows:</w:t>
      </w:r>
    </w:p>
    <w:p>
      <w:pPr>
        <w:pStyle w:val="TextBody"/>
        <w:bidi w:val="0"/>
        <w:spacing w:before="200" w:after="283"/>
        <w:jc w:val="both"/>
        <w:rPr/>
      </w:pPr>
      <w:r>
        <w:rPr/>
        <w:t> </w:t>
      </w:r>
    </w:p>
    <w:tbl>
      <w:tblPr>
        <w:tblW w:w="8692" w:type="dxa"/>
        <w:jc w:val="left"/>
        <w:tblInd w:w="0" w:type="dxa"/>
        <w:tblLayout w:type="fixed"/>
        <w:tblCellMar>
          <w:top w:w="28" w:type="dxa"/>
          <w:left w:w="28" w:type="dxa"/>
          <w:bottom w:w="28" w:type="dxa"/>
          <w:right w:w="28" w:type="dxa"/>
        </w:tblCellMar>
      </w:tblPr>
      <w:tblGrid>
        <w:gridCol w:w="6271"/>
        <w:gridCol w:w="146"/>
        <w:gridCol w:w="213"/>
        <w:gridCol w:w="682"/>
        <w:gridCol w:w="147"/>
        <w:gridCol w:w="147"/>
        <w:gridCol w:w="213"/>
        <w:gridCol w:w="682"/>
        <w:gridCol w:w="19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Hartley’s</w:t>
            </w:r>
            <w:r>
              <w:rPr>
                <w:rFonts w:ascii="Times New Roman" w:hAnsi="Times New Roman"/>
                <w:color w:val="000000"/>
                <w:sz w:val="13"/>
              </w:rPr>
              <w:t>®</w:t>
            </w:r>
            <w:r>
              <w:rPr>
                <w:rFonts w:ascii="Times New Roman" w:hAnsi="Times New Roman"/>
                <w:color w:val="000000"/>
                <w:sz w:val="20"/>
              </w:rPr>
              <w:t> Jelly 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Earth’s Best</w:t>
            </w:r>
            <w:r>
              <w:rPr>
                <w:rFonts w:ascii="Times New Roman" w:hAnsi="Times New Roman"/>
                <w:color w:val="000000"/>
                <w:sz w:val="13"/>
              </w:rPr>
              <w:t>®</w:t>
            </w:r>
            <w:r>
              <w:rPr>
                <w:rFonts w:ascii="Times New Roman" w:hAnsi="Times New Roman"/>
                <w:color w:val="000000"/>
                <w:sz w:val="20"/>
              </w:rPr>
              <w:t> tradenames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Spectrum</w:t>
            </w:r>
            <w:r>
              <w:rPr>
                <w:rFonts w:ascii="Times New Roman" w:hAnsi="Times New Roman"/>
                <w:color w:val="000000"/>
                <w:sz w:val="13"/>
              </w:rPr>
              <w:t>®</w:t>
            </w:r>
            <w:r>
              <w:rPr>
                <w:rFonts w:ascii="Times New Roman" w:hAnsi="Times New Roman"/>
                <w:color w:val="000000"/>
                <w:sz w:val="20"/>
              </w:rPr>
              <w:t> 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Sensible Portions</w:t>
            </w:r>
            <w:r>
              <w:rPr>
                <w:rFonts w:ascii="Times New Roman" w:hAnsi="Times New Roman"/>
                <w:color w:val="000000"/>
                <w:sz w:val="13"/>
              </w:rPr>
              <w:t>®</w:t>
            </w:r>
            <w:r>
              <w:rPr>
                <w:rFonts w:ascii="Times New Roman" w:hAnsi="Times New Roman"/>
                <w:color w:val="000000"/>
                <w:sz w:val="20"/>
              </w:rPr>
              <w:t> tradename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Personal care tradenames (Alba Botanica</w:t>
            </w:r>
            <w:r>
              <w:rPr>
                <w:rFonts w:ascii="Times New Roman" w:hAnsi="Times New Roman"/>
                <w:color w:val="000000"/>
                <w:sz w:val="13"/>
              </w:rPr>
              <w:t>®</w:t>
            </w:r>
            <w:r>
              <w:rPr>
                <w:rFonts w:ascii="Times New Roman" w:hAnsi="Times New Roman"/>
                <w:color w:val="000000"/>
                <w:sz w:val="20"/>
              </w:rPr>
              <w:t>, Avalon Organics</w:t>
            </w:r>
            <w:r>
              <w:rPr>
                <w:rFonts w:ascii="Times New Roman" w:hAnsi="Times New Roman"/>
                <w:color w:val="000000"/>
                <w:sz w:val="13"/>
              </w:rPr>
              <w:t>®</w:t>
            </w:r>
            <w:r>
              <w:rPr>
                <w:rFonts w:ascii="Times New Roman" w:hAnsi="Times New Roman"/>
                <w:color w:val="000000"/>
                <w:sz w:val="20"/>
              </w:rPr>
              <w:t>, and JASON</w:t>
            </w:r>
            <w:r>
              <w:rPr>
                <w:rFonts w:ascii="Times New Roman" w:hAnsi="Times New Roman"/>
                <w:color w:val="000000"/>
                <w:sz w:val="13"/>
              </w:rPr>
              <w:t>®</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Belvedere trademark and 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Imagine</w:t>
            </w:r>
            <w:r>
              <w:rPr>
                <w:rFonts w:ascii="Times New Roman" w:hAnsi="Times New Roman"/>
                <w:color w:val="000000"/>
                <w:sz w:val="13"/>
              </w:rPr>
              <w:t>®</w:t>
            </w:r>
            <w:r>
              <w:rPr>
                <w:rFonts w:ascii="Times New Roman" w:hAnsi="Times New Roman"/>
                <w:color w:val="000000"/>
                <w:sz w:val="20"/>
              </w:rPr>
              <w:t> tradename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Health Valley</w:t>
            </w:r>
            <w:r>
              <w:rPr>
                <w:rFonts w:ascii="Times New Roman" w:hAnsi="Times New Roman"/>
                <w:color w:val="000000"/>
                <w:sz w:val="13"/>
              </w:rPr>
              <w:t xml:space="preserve">® </w:t>
            </w:r>
            <w:r>
              <w:rPr>
                <w:rFonts w:ascii="Times New Roman" w:hAnsi="Times New Roman"/>
                <w:color w:val="000000"/>
                <w:sz w:val="20"/>
              </w:rPr>
              <w:t>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Amortized intangible assets, which are deemed to have a finite life, primarily consist of customer relationships, trademarks and tradenames and are amortized over their estimated useful lives of 7 to 25 years. The weighted average remaining amortization period of amortized intangible assets is 9.28 years. Expected amortization expense for the next five fiscal years is as follows:</w:t>
      </w:r>
    </w:p>
    <w:p>
      <w:pPr>
        <w:pStyle w:val="TextBody"/>
        <w:bidi w:val="0"/>
        <w:jc w:val="both"/>
        <w:rPr/>
      </w:pPr>
      <w:r>
        <w:rPr/>
        <w:t> </w:t>
      </w:r>
    </w:p>
    <w:tbl>
      <w:tblPr>
        <w:tblW w:w="8656" w:type="dxa"/>
        <w:jc w:val="left"/>
        <w:tblInd w:w="0" w:type="dxa"/>
        <w:tblLayout w:type="fixed"/>
        <w:tblCellMar>
          <w:top w:w="28" w:type="dxa"/>
          <w:left w:w="28" w:type="dxa"/>
          <w:bottom w:w="28" w:type="dxa"/>
          <w:right w:w="28" w:type="dxa"/>
        </w:tblCellMar>
      </w:tblPr>
      <w:tblGrid>
        <w:gridCol w:w="2716"/>
        <w:gridCol w:w="146"/>
        <w:gridCol w:w="211"/>
        <w:gridCol w:w="676"/>
        <w:gridCol w:w="146"/>
        <w:gridCol w:w="146"/>
        <w:gridCol w:w="211"/>
        <w:gridCol w:w="676"/>
        <w:gridCol w:w="146"/>
        <w:gridCol w:w="146"/>
        <w:gridCol w:w="211"/>
        <w:gridCol w:w="676"/>
        <w:gridCol w:w="146"/>
        <w:gridCol w:w="146"/>
        <w:gridCol w:w="211"/>
        <w:gridCol w:w="676"/>
        <w:gridCol w:w="146"/>
        <w:gridCol w:w="146"/>
        <w:gridCol w:w="211"/>
        <w:gridCol w:w="676"/>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Ending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ACCRUED EXPENSES AND OTHER CURRENT LIABILITIES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w:t>
      </w:r>
    </w:p>
    <w:p>
      <w:pPr>
        <w:pStyle w:val="TextBody"/>
        <w:bidi w:val="0"/>
        <w:jc w:val="both"/>
        <w:rPr/>
      </w:pPr>
      <w:r>
        <w:rPr/>
        <w:t> </w:t>
      </w:r>
    </w:p>
    <w:tbl>
      <w:tblPr>
        <w:tblW w:w="9394" w:type="dxa"/>
        <w:jc w:val="left"/>
        <w:tblInd w:w="0" w:type="dxa"/>
        <w:tblLayout w:type="fixed"/>
        <w:tblCellMar>
          <w:top w:w="28" w:type="dxa"/>
          <w:left w:w="28" w:type="dxa"/>
          <w:bottom w:w="28" w:type="dxa"/>
          <w:right w:w="28" w:type="dxa"/>
        </w:tblCellMar>
      </w:tblPr>
      <w:tblGrid>
        <w:gridCol w:w="6886"/>
        <w:gridCol w:w="146"/>
        <w:gridCol w:w="211"/>
        <w:gridCol w:w="781"/>
        <w:gridCol w:w="146"/>
        <w:gridCol w:w="146"/>
        <w:gridCol w:w="211"/>
        <w:gridCol w:w="676"/>
        <w:gridCol w:w="191"/>
      </w:tblGrid>
      <w:tr>
        <w:trPr/>
        <w:tc>
          <w:tcPr>
            <w:tcW w:w="6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employee benefits and other administrative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accrual for the consolidated Securities Class Action complaint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services related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derivative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freight and warehousing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related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DEBT AND BORROWINGS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Debt and borrowings consisted of the following:</w:t>
      </w:r>
    </w:p>
    <w:p>
      <w:pPr>
        <w:pStyle w:val="TextBody"/>
        <w:bidi w:val="0"/>
        <w:jc w:val="both"/>
        <w:rPr/>
      </w:pPr>
      <w:r>
        <w:rPr/>
        <w:t> </w:t>
      </w:r>
    </w:p>
    <w:tbl>
      <w:tblPr>
        <w:tblW w:w="8099" w:type="dxa"/>
        <w:jc w:val="left"/>
        <w:tblInd w:w="0" w:type="dxa"/>
        <w:tblLayout w:type="fixed"/>
        <w:tblCellMar>
          <w:top w:w="28" w:type="dxa"/>
          <w:left w:w="28" w:type="dxa"/>
          <w:bottom w:w="28" w:type="dxa"/>
          <w:right w:w="28" w:type="dxa"/>
        </w:tblCellMar>
      </w:tblPr>
      <w:tblGrid>
        <w:gridCol w:w="5446"/>
        <w:gridCol w:w="146"/>
        <w:gridCol w:w="211"/>
        <w:gridCol w:w="781"/>
        <w:gridCol w:w="166"/>
        <w:gridCol w:w="146"/>
        <w:gridCol w:w="211"/>
        <w:gridCol w:w="781"/>
        <w:gridCol w:w="211"/>
      </w:tblGrid>
      <w:tr>
        <w:trPr/>
        <w:tc>
          <w:tcPr>
            <w:tcW w:w="5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255,550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704,821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4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Current debt and finance lease obligations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and finance lease obligations,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697,168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lineRule="auto" w:line="360"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jc w:val="both"/>
        <w:rPr>
          <w:rFonts w:ascii="Times New Roman" w:hAnsi="Times New Roman"/>
          <w:sz w:val="20"/>
        </w:rPr>
      </w:pPr>
      <w:r>
        <w:rPr>
          <w:rFonts w:ascii="Times New Roman" w:hAnsi="Times New Roman"/>
          <w:i/>
          <w:color w:val="000000"/>
          <w:sz w:val="20"/>
        </w:rPr>
        <w:t>Includes $78</w:t>
      </w:r>
      <w:r>
        <w:rPr>
          <w:rFonts w:ascii="Times New Roman" w:hAnsi="Times New Roman"/>
          <w:color w:val="000000"/>
          <w:sz w:val="20"/>
        </w:rPr>
        <w:t xml:space="preserve"> </w:t>
      </w:r>
      <w:r>
        <w:rPr>
          <w:rFonts w:ascii="Times New Roman" w:hAnsi="Times New Roman"/>
          <w:i/>
          <w:color w:val="000000"/>
          <w:sz w:val="20"/>
        </w:rPr>
        <w:t>(2025: $153) of finance lease obligations.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December 22, 2021, the Company entered into a Fourth Amended and Restated Credit Agreement (as subsequently amended, the “Credit Agreement”). The Credit Agreement originally provided for senior secured financing of $1,100,000 in the aggregate, consisting of (1) $300,000 in aggregate principal amount of term loans (the “Term Loans”) and (2) an $800,000 senior secured revolving credit facility (which includes borrowing capacity available for letters of credit, and was originally comprised of a $440,000 U.S. revolving credit facility and $360,000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 The Credit Agreement includes financial covenants that require compliance with a consolidated secured leverage ratio, a consolidated leverage ratio and a consolidated interest coverage ratio.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The Company’s maximum consolidated leverage ratio remained at 6.00:1.00 and its minimum interest coverage ratio remained at 2.75:1.00.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 The Third Amendment also reduced the size of the Revolver from $800,000 to $700,000 in the aggregate, with the U.S. revolving credit facility reduced from $440,000 to $385,000 and the global revolving credit facility reduced from $360,000 to $315,000.</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On September 11, 2025, the Company entered into a Fourth Amendment (the “Fourth Amendment”) to the Credit Agreement. Pursuant to the Fourth Amendment, (x) the Company’s maximum consolidated secured leverage ratio was amended to be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5.00:1.00 for the quarter ending June 30, 2025 and 5.50:1.00 for the quarter ending September 30, 2025 and thereafter, (y) the Company’s minimum consolidated interest coverage ratio was amended to be 2.00:1.00 for the quarter ending September 30, 2025 and thereafter and (z) a covenant was added requiring the Company to maintain a minimum Consolidated EBITDA (as such term is defined in the Credit Agreement as amended by the Fourth Amendment) of (i) $17,000 for the quarter ending September 30, 2025 and (ii) $52,000 for the cumulative two quarters ending September 30, 2025 and on December 31, 2025. The aforementioned financial covenants use financial measures that are defined under the Credit Agreement and not pursuant to U.S. generally accepted accounting principles. The Fourth Amendment also reduced the size of the Revolver from $700,000 to $600,000 in the aggregate, with the U.S. revolving credit facility reduced from $385,000 to $330,000 and the global revolving credit facility reduced from $315,000 to $270,000.</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 Commencing on the date of the Third Amendment, loans under the Credit Agreement bore interest at (a) Term SOFR plus 3.00% per annum or (b) the Base Rate plus 2.00% per annum. Commencing on the date of the Fourth Amendment, loans under the Credit Agreement bear interest at (a) Term SOFR plus 4.00% per annum or (b) the Base Rate plus 3.00% per annum.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Excluding the impact of hedges, the weighted average interest rate on outstanding borrowings under the Credit Agreement at June 30, 2026 was 7.92%. The Company uses interest rate swaps to hedge a portion of the interest rate risk related to its outstanding variable rate debt. As of June 30, 2026, the notional amount of the interest rate swaps was $400,000 with fixed rate payments of 7.12%. Including the impact of hedges, the weighted average interest rate on outstanding borrowings under the Credit Agreement at June 30, 2026 was 7.38%. Additionally, the Credit Agreement contains a commitment fee of 0.25% per annum on the amount unused under the Credit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there were $411,000 of loans under the Revolver, $146,950 of Term Loans, and $3,099 of letters of credit outstanding under the Credit Agreement. As of June 30, 2026, $185,901 was available under the Credit Agreement, subject to compliance with the financial covenants. As of June 30, 2026, the Company was in compliance with all associated covenants.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Credit Agreement Issuance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Fourth Amendment to its Credit Agreement during the first quarter of fiscal year 2026, the Company incurred debt issuance costs of approximately $2,846, of which $2,529 was deferred. Of the total deferred costs, $1,996 were associated with the Revolver and are being amortized on a straight-line basis within prepaid expenses and other current assets on the consolidated balance sheets, and $533 are being amortized on a straight-line basis, which approximates the effective interest method, as an adjustment to the carrying amount of the Term Loans as a component of Interest and other financing expense, net over the term of the Credit Agreement. Further, the Fourth Amendment decreased the borrowing capacity of the Revolver, resulting in write-off of $604 of previously capitalized deferred costs. During the three months ended March 31, 2026, in connection with the $101,100 repayment of the Term Loans, $542 of previously capitalized deferred costs were written off.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Maturities of all debt instruments, excluding unamortized issuance costs, at June 30, 2026, are as follows:</w:t>
      </w:r>
    </w:p>
    <w:p>
      <w:pPr>
        <w:pStyle w:val="TextBody"/>
        <w:bidi w:val="0"/>
        <w:jc w:val="both"/>
        <w:rPr/>
      </w:pPr>
      <w:r>
        <w:rPr/>
        <w:t> </w:t>
      </w:r>
    </w:p>
    <w:tbl>
      <w:tblPr>
        <w:tblW w:w="3595" w:type="dxa"/>
        <w:jc w:val="left"/>
        <w:tblInd w:w="0" w:type="dxa"/>
        <w:tblLayout w:type="fixed"/>
        <w:tblCellMar>
          <w:top w:w="28" w:type="dxa"/>
          <w:left w:w="28" w:type="dxa"/>
          <w:bottom w:w="28" w:type="dxa"/>
          <w:right w:w="28" w:type="dxa"/>
        </w:tblCellMar>
      </w:tblPr>
      <w:tblGrid>
        <w:gridCol w:w="2266"/>
        <w:gridCol w:w="146"/>
        <w:gridCol w:w="211"/>
        <w:gridCol w:w="781"/>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Due in 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Interest paid during the fiscal years ended June 30, 2026 and 2025 amounted to $49,852 and $46,265, respectively.</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components of loss before income taxes and equity in net loss of equity-method investees were as follows:</w:t>
      </w:r>
    </w:p>
    <w:p>
      <w:pPr>
        <w:pStyle w:val="TextBody"/>
        <w:bidi w:val="0"/>
        <w:jc w:val="left"/>
        <w:rPr/>
      </w:pPr>
      <w:r>
        <w:rPr/>
        <w:t> </w:t>
      </w:r>
    </w:p>
    <w:tbl>
      <w:tblPr>
        <w:tblW w:w="3659" w:type="dxa"/>
        <w:jc w:val="left"/>
        <w:tblInd w:w="0" w:type="dxa"/>
        <w:tblLayout w:type="fixed"/>
        <w:tblCellMar>
          <w:top w:w="28" w:type="dxa"/>
          <w:left w:w="28" w:type="dxa"/>
          <w:bottom w:w="28" w:type="dxa"/>
          <w:right w:w="28" w:type="dxa"/>
        </w:tblCellMar>
      </w:tblPr>
      <w:tblGrid>
        <w:gridCol w:w="886"/>
        <w:gridCol w:w="146"/>
        <w:gridCol w:w="211"/>
        <w:gridCol w:w="841"/>
        <w:gridCol w:w="166"/>
        <w:gridCol w:w="146"/>
        <w:gridCol w:w="211"/>
        <w:gridCol w:w="841"/>
        <w:gridCol w:w="21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(513,731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provision (benefit) for income taxes consisted of the following:</w:t>
      </w:r>
    </w:p>
    <w:p>
      <w:pPr>
        <w:pStyle w:val="TextBody"/>
        <w:bidi w:val="0"/>
        <w:jc w:val="both"/>
        <w:rPr/>
      </w:pPr>
      <w:r>
        <w:rPr/>
        <w:t> </w:t>
      </w:r>
    </w:p>
    <w:tbl>
      <w:tblPr>
        <w:tblW w:w="3960" w:type="dxa"/>
        <w:jc w:val="left"/>
        <w:tblInd w:w="0" w:type="dxa"/>
        <w:tblLayout w:type="fixed"/>
        <w:tblCellMar>
          <w:top w:w="28" w:type="dxa"/>
          <w:left w:w="28" w:type="dxa"/>
          <w:bottom w:w="28" w:type="dxa"/>
          <w:right w:w="28" w:type="dxa"/>
        </w:tblCellMar>
      </w:tblPr>
      <w:tblGrid>
        <w:gridCol w:w="1421"/>
        <w:gridCol w:w="146"/>
        <w:gridCol w:w="215"/>
        <w:gridCol w:w="644"/>
        <w:gridCol w:w="169"/>
        <w:gridCol w:w="149"/>
        <w:gridCol w:w="215"/>
        <w:gridCol w:w="690"/>
        <w:gridCol w:w="311"/>
      </w:tblGrid>
      <w:tr>
        <w:trPr/>
        <w:tc>
          <w:tcPr>
            <w:tcW w:w="1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income taxes paid (net of refunds received) by primary jurisdiction for fiscal year 2026.</w:t>
      </w:r>
    </w:p>
    <w:p>
      <w:pPr>
        <w:pStyle w:val="TextBody"/>
        <w:bidi w:val="0"/>
        <w:jc w:val="both"/>
        <w:rPr/>
      </w:pPr>
      <w:r>
        <w:rPr/>
        <w:t> </w:t>
      </w:r>
    </w:p>
    <w:tbl>
      <w:tblPr>
        <w:tblW w:w="4148" w:type="dxa"/>
        <w:jc w:val="left"/>
        <w:tblInd w:w="0" w:type="dxa"/>
        <w:tblLayout w:type="fixed"/>
        <w:tblCellMar>
          <w:top w:w="28" w:type="dxa"/>
          <w:left w:w="28" w:type="dxa"/>
          <w:bottom w:w="28" w:type="dxa"/>
          <w:right w:w="28" w:type="dxa"/>
        </w:tblCellMar>
      </w:tblPr>
      <w:tblGrid>
        <w:gridCol w:w="1726"/>
        <w:gridCol w:w="146"/>
        <w:gridCol w:w="496"/>
        <w:gridCol w:w="1589"/>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Cyprus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items accounting for differences between income taxes computed at the federal statutory rate and the provision recorded for income taxes are as follows (in millions, except percentages):</w:t>
      </w:r>
    </w:p>
    <w:tbl>
      <w:tblPr>
        <w:tblW w:w="7661" w:type="dxa"/>
        <w:jc w:val="left"/>
        <w:tblInd w:w="0" w:type="dxa"/>
        <w:tblLayout w:type="fixed"/>
        <w:tblCellMar>
          <w:top w:w="28" w:type="dxa"/>
          <w:left w:w="28" w:type="dxa"/>
          <w:bottom w:w="28" w:type="dxa"/>
          <w:right w:w="28" w:type="dxa"/>
        </w:tblCellMar>
      </w:tblPr>
      <w:tblGrid>
        <w:gridCol w:w="5056"/>
        <w:gridCol w:w="146"/>
        <w:gridCol w:w="235"/>
        <w:gridCol w:w="820"/>
        <w:gridCol w:w="185"/>
        <w:gridCol w:w="162"/>
        <w:gridCol w:w="162"/>
        <w:gridCol w:w="519"/>
        <w:gridCol w:w="37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United States federal income 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(64,424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State income taxes, net of federal benefit</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Impairment of goodwill</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19,803</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Statutory tax rate difference between the U.K. and the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UK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Canada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Austria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Impairment of goodwill</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Austria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All 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Gain on sale of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pPr>
            <w:r>
              <w:rPr>
                <w:color w:val="000000"/>
              </w:rPr>
              <w:t>   </w:t>
            </w:r>
            <w:r>
              <w:rPr>
                <w:rFonts w:ascii="Times New Roman" w:hAnsi="Times New Roman"/>
                <w:color w:val="000000"/>
                <w:sz w:val="20"/>
              </w:rPr>
              <w:t>Impairment of goodwill</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R&amp;W insurance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Change in valuation allowance</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Change in unrecognized tax benefits</w:t>
            </w:r>
            <w:r>
              <w:rPr>
                <w:rFonts w:ascii="Times New Roman" w:hAnsi="Times New Roman"/>
                <w:color w:val="000000"/>
                <w:sz w:val="13"/>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tbl>
      <w:tblPr>
        <w:tblW w:w="7466" w:type="dxa"/>
        <w:jc w:val="left"/>
        <w:tblInd w:w="0" w:type="dxa"/>
        <w:tblLayout w:type="fixed"/>
        <w:tblCellMar>
          <w:top w:w="28" w:type="dxa"/>
          <w:left w:w="28" w:type="dxa"/>
          <w:bottom w:w="28" w:type="dxa"/>
          <w:right w:w="28" w:type="dxa"/>
        </w:tblCellMar>
      </w:tblPr>
      <w:tblGrid>
        <w:gridCol w:w="4861"/>
        <w:gridCol w:w="146"/>
        <w:gridCol w:w="216"/>
        <w:gridCol w:w="861"/>
        <w:gridCol w:w="170"/>
        <w:gridCol w:w="149"/>
        <w:gridCol w:w="149"/>
        <w:gridCol w:w="538"/>
        <w:gridCol w:w="37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United States federal income tax at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tax on foreign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income at different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Change in valuation allowance</w:t>
            </w:r>
            <w:r>
              <w:rPr>
                <w:rFonts w:ascii="Times New Roman" w:hAnsi="Times New Roman"/>
                <w:color w:val="000000"/>
                <w:sz w:val="13"/>
              </w:rPr>
              <w:t>(c)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Change in reserves for uncertain tax positions</w:t>
            </w:r>
            <w:r>
              <w:rPr>
                <w:rFonts w:ascii="Times New Roman" w:hAnsi="Times New Roman"/>
                <w:color w:val="000000"/>
                <w:sz w:val="13"/>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Impairment of goodwill and intangibles</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disposal of 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capital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(a) State taxes in California, Illinois, Pennsylvania, Texas, and New Jersey in aggregate make up the majority (greater than 50 percent) of the tax effect of this category.</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(b) The Company recorded impairments of goodwill and certain intangible assets and most of the impairments did not have associated deferred tax liabilities. Therefore, the impact of these impairments is reflected as an impact to the effective tax rate.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(c) The Company estimated that it would not be able to utilize certain of its federal tax credit, federal tax losses and state tax loss carryovers due to its history of pretax losses and inability to carry back tax losses or credits for refunds. This negative evidence resulted in the Company increasing the valuation allowance on worldwide deferred tax assets of separately reported items in the year ended June 30, 2026 by</w:t>
      </w:r>
      <w:r>
        <w:rPr>
          <w:rFonts w:ascii="Times New Roman" w:hAnsi="Times New Roman"/>
          <w:color w:val="000000"/>
          <w:sz w:val="20"/>
        </w:rPr>
        <w:t xml:space="preserve"> </w:t>
      </w:r>
      <w:r>
        <w:rPr>
          <w:rFonts w:ascii="Times New Roman" w:hAnsi="Times New Roman"/>
          <w:i/>
          <w:color w:val="000000"/>
          <w:sz w:val="20"/>
        </w:rPr>
        <w:t>$28,230</w:t>
      </w:r>
      <w:r>
        <w:rPr>
          <w:rFonts w:ascii="Times New Roman" w:hAnsi="Times New Roman"/>
          <w:color w:val="000000"/>
          <w:sz w:val="20"/>
        </w:rPr>
        <w:t xml:space="preserve"> </w:t>
      </w:r>
      <w:r>
        <w:rPr>
          <w:rFonts w:ascii="Times New Roman" w:hAnsi="Times New Roman"/>
          <w:i/>
          <w:color w:val="000000"/>
          <w:sz w:val="20"/>
        </w:rPr>
        <w:t>and in the year ended June 30, 2025 by $28,757.</w:t>
      </w:r>
    </w:p>
    <w:p>
      <w:pPr>
        <w:pStyle w:val="TextBody"/>
        <w:bidi w:val="0"/>
        <w:jc w:val="both"/>
        <w:rPr>
          <w:rFonts w:ascii="Times New Roman" w:hAnsi="Times New Roman"/>
          <w:i/>
          <w:color w:val="000000"/>
          <w:sz w:val="20"/>
        </w:rPr>
      </w:pPr>
      <w:r>
        <w:rPr>
          <w:rFonts w:ascii="Times New Roman" w:hAnsi="Times New Roman"/>
          <w:i/>
          <w:color w:val="000000"/>
          <w:sz w:val="20"/>
        </w:rPr>
        <w:t>(d) The Company recorded an unrecognized tax benefit that may not be fully supported under audit.</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U.S. federal tax regulations include a provision to tax global intangible low-taxed income (“GILTI”) of foreign subsidiaries and a measure to tax certain intercompany payments under the base erosion anti-abuse tax (“BEAT”) regime. For the fiscal years ended June 30, 2026 and 2025, the Company did not generate intercompany transactions that met the BEAT threshold but does have to include GILTI tax relating to the Company’s foreign subsidiaries.</w:t>
      </w:r>
    </w:p>
    <w:p>
      <w:pPr>
        <w:pStyle w:val="TextBody"/>
        <w:bidi w:val="0"/>
        <w:jc w:val="both"/>
        <w:rPr>
          <w:rFonts w:ascii="Times New Roman" w:hAnsi="Times New Roman"/>
          <w:color w:val="000000"/>
          <w:sz w:val="20"/>
        </w:rPr>
      </w:pPr>
      <w:r>
        <w:rPr>
          <w:rFonts w:ascii="Times New Roman" w:hAnsi="Times New Roman"/>
          <w:color w:val="000000"/>
          <w:sz w:val="20"/>
        </w:rPr>
        <w:t>The Company elected to account for GILTI tax as a current period cost and did not record an expense during the fiscal year ended June 30, 2026. The GILTI tax expense is included in the U.S. tax benefit on foreign earnings in the effective tax rate which also includes tax expense related to Subpart F income and unremitted earnings in total.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 of assets and liabilities for financial reporting purposes and the amounts for income tax purposes. Deferred tax assets and liabilities consisted of the following:</w:t>
      </w:r>
    </w:p>
    <w:tbl>
      <w:tblPr>
        <w:tblW w:w="7159" w:type="dxa"/>
        <w:jc w:val="left"/>
        <w:tblInd w:w="0" w:type="dxa"/>
        <w:tblLayout w:type="fixed"/>
        <w:tblCellMar>
          <w:top w:w="28" w:type="dxa"/>
          <w:left w:w="28" w:type="dxa"/>
          <w:bottom w:w="28" w:type="dxa"/>
          <w:right w:w="28" w:type="dxa"/>
        </w:tblCellMar>
      </w:tblPr>
      <w:tblGrid>
        <w:gridCol w:w="4346"/>
        <w:gridCol w:w="146"/>
        <w:gridCol w:w="211"/>
        <w:gridCol w:w="841"/>
        <w:gridCol w:w="166"/>
        <w:gridCol w:w="146"/>
        <w:gridCol w:w="211"/>
        <w:gridCol w:w="781"/>
        <w:gridCol w:w="311"/>
      </w:tblGrid>
      <w:tr>
        <w:trPr/>
        <w:tc>
          <w:tcPr>
            <w:tcW w:w="4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and 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Basis difference on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Reserves not currently deductible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Basis difference on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ROU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tax asset before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Basis difference on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Basis difference on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Basis difference on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Unremitted earnings of foreign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tax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4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Net deferred tax liability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(40,332</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(a) A deferred tax asset of $1,607</w:t>
      </w:r>
      <w:r>
        <w:rPr>
          <w:rFonts w:ascii="Times New Roman" w:hAnsi="Times New Roman"/>
          <w:color w:val="000000"/>
          <w:sz w:val="20"/>
        </w:rPr>
        <w:t xml:space="preserve"> </w:t>
      </w:r>
      <w:r>
        <w:rPr>
          <w:rFonts w:ascii="Times New Roman" w:hAnsi="Times New Roman"/>
          <w:i/>
          <w:color w:val="000000"/>
          <w:sz w:val="20"/>
        </w:rPr>
        <w:t>and nil</w:t>
      </w:r>
      <w:r>
        <w:rPr>
          <w:rFonts w:ascii="Times New Roman" w:hAnsi="Times New Roman"/>
          <w:color w:val="000000"/>
          <w:sz w:val="20"/>
        </w:rPr>
        <w:t xml:space="preserve"> </w:t>
      </w:r>
      <w:r>
        <w:rPr>
          <w:rFonts w:ascii="Times New Roman" w:hAnsi="Times New Roman"/>
          <w:i/>
          <w:color w:val="000000"/>
          <w:sz w:val="20"/>
        </w:rPr>
        <w:t>is included within Other Assets, for fiscal years 2026 and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and 2025, the Company had U.S. federal NOL carryforwards of approximately $106,684 and $113,258, respectively, certain of which will not expire until 2033. Certain of these federal loss carryforwards are subject to Internal Revenue Code Section 382, which imposes limitations on utilization following certain changes in ownership of the entity generating the loss carryforward. The Company had foreign NOL carryforwards of approximately $14,143 and $14,815 at June 30, 2026 and 2025, respectively, the majority of which are indefinite lived.</w:t>
      </w:r>
    </w:p>
    <w:p>
      <w:pPr>
        <w:pStyle w:val="TextBody"/>
        <w:bidi w:val="0"/>
        <w:jc w:val="both"/>
        <w:rPr>
          <w:rFonts w:ascii="Times New Roman" w:hAnsi="Times New Roman"/>
          <w:color w:val="000000"/>
          <w:sz w:val="20"/>
        </w:rPr>
      </w:pPr>
      <w:r>
        <w:rPr>
          <w:rFonts w:ascii="Times New Roman" w:hAnsi="Times New Roman"/>
          <w:color w:val="000000"/>
          <w:sz w:val="20"/>
        </w:rPr>
        <w:t>For the year ended June 30, 2026, the Company determined that $110,300 of foreign earnings are not permanently reinvested with a corresponding deferred tax liability of $2,294. The Company continues to reinvest $684,000 of undistributed earnings of its foreign subsidiaries and may be subject to additional foreign withholding taxes and U.S. state income taxes if it reverses its indefinite reinvestment assertion on these foreign earnings in the future. All other outside basis differences not related to earnings were impractical to account for at this period of time and are currently considered as being permanent in duration.</w:t>
      </w:r>
    </w:p>
    <w:p>
      <w:pPr>
        <w:pStyle w:val="TextBody"/>
        <w:bidi w:val="0"/>
        <w:jc w:val="both"/>
        <w:rPr>
          <w:rFonts w:ascii="Times New Roman" w:hAnsi="Times New Roman"/>
          <w:color w:val="000000"/>
          <w:sz w:val="20"/>
        </w:rPr>
      </w:pPr>
      <w:r>
        <w:rPr>
          <w:rFonts w:ascii="Times New Roman" w:hAnsi="Times New Roman"/>
          <w:color w:val="000000"/>
          <w:sz w:val="20"/>
        </w:rPr>
        <w:t xml:space="preserve">As required by the authoritative guidance on accounting for income taxes, the Company evaluates the realizability of deferred tax assets on a jurisdictional basis at each reporting date.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are not more likely than not realizable, the Company establishes a valuation allowance. The Company recorded valuation allowances in the amounts of $136,002 and $96,383 at June 30, 2026 and 2025, respectively.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Unrecognized tax benefits activity, including interest and penalties, is summarized below:</w:t>
      </w:r>
    </w:p>
    <w:p>
      <w:pPr>
        <w:pStyle w:val="TextBody"/>
        <w:bidi w:val="0"/>
        <w:jc w:val="both"/>
        <w:rPr/>
      </w:pPr>
      <w:r>
        <w:rPr/>
        <w:t> </w:t>
      </w:r>
    </w:p>
    <w:tbl>
      <w:tblPr>
        <w:tblW w:w="7734" w:type="dxa"/>
        <w:jc w:val="left"/>
        <w:tblInd w:w="0" w:type="dxa"/>
        <w:tblLayout w:type="fixed"/>
        <w:tblCellMar>
          <w:top w:w="28" w:type="dxa"/>
          <w:left w:w="28" w:type="dxa"/>
          <w:bottom w:w="28" w:type="dxa"/>
          <w:right w:w="28" w:type="dxa"/>
        </w:tblCellMar>
      </w:tblPr>
      <w:tblGrid>
        <w:gridCol w:w="5311"/>
        <w:gridCol w:w="146"/>
        <w:gridCol w:w="211"/>
        <w:gridCol w:w="676"/>
        <w:gridCol w:w="166"/>
        <w:gridCol w:w="146"/>
        <w:gridCol w:w="211"/>
        <w:gridCol w:w="676"/>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based on tax positions related to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Reductions due to lapse in statute of limitations and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$53,222 of unrecognized tax benefits, of which $49,411 represents an amount that, if recognized, would impact the effective tax rate in future periods. As of June 30, 2025, the Company had $51,923 of unrecognized tax benefits, of which $48,112 represents the amount that, if recognized, would impact the effective tax rate in future periods. Accrued liabilities for interest and penalties were $7,310 and $6,124 at June 30, 2026 and 2025, respectively.</w:t>
      </w:r>
    </w:p>
    <w:p>
      <w:pPr>
        <w:pStyle w:val="TextBody"/>
        <w:bidi w:val="0"/>
        <w:jc w:val="both"/>
        <w:rPr>
          <w:rFonts w:ascii="Times New Roman" w:hAnsi="Times New Roman"/>
          <w:color w:val="000000"/>
          <w:sz w:val="20"/>
        </w:rPr>
      </w:pPr>
      <w:r>
        <w:rPr>
          <w:rFonts w:ascii="Times New Roman" w:hAnsi="Times New Roman"/>
          <w:color w:val="000000"/>
          <w:sz w:val="20"/>
        </w:rPr>
        <w:t>The Company and its subsidiaries file income tax returns in the U.S. federal jurisdiction, various U.S. state jurisdictions and several foreign jurisdictions. With few exceptions, the Company is no longer subject to U.S. federal, state and local, or non-U.S. income tax examinations by tax authorities for years prior to fiscal 2014. However, to the extent the Company generated NOLs or tax credits in closed tax years, future use of the NOL or tax credit carryforward balance would be subject to examination within the relevant statute of limitations for the year in which utilized. The Company is no longer subject to tax examinations in the U.K. for years prior to fiscal 2022. Given the uncertainty regarding when tax authorities will complete their examinations and the possible outcomes of their examinations, a current estimate of the range of reasonably possible significant increases or decreases of income tax that may occur within the next twelve months cannot be made. Although there are various tax audits currently ongoing, the Company does not believe the ultimate outcome of such audits will have a material impact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200" w:after="283"/>
        <w:jc w:val="both"/>
        <w:rPr>
          <w:rFonts w:ascii="Times New Roman" w:hAnsi="Times New Roman"/>
          <w:sz w:val="20"/>
        </w:rPr>
      </w:pPr>
      <w:r>
        <w:rPr>
          <w:rFonts w:ascii="Times New Roman" w:hAnsi="Times New Roman"/>
          <w:b/>
          <w:color w:val="000000"/>
          <w:sz w:val="20"/>
        </w:rPr>
        <w:t>Preferred Stock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authorized to issue “blank check” preferred stock of up to 5,000 shares with such designations, rights and preferences as may be determined from time to time by the Board of Directors. Accordingly, the Board of Directors is empowered to issue, without stockholder approval, preferred stock with dividends, liquidation, conversion, voting or other rights which could decrease the amount of earnings and assets available for distribution to holders of the Company’s common stock. At June 30, 2026 and 2025, no preferred stock was issued or outstanding.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changes in accumulated other comprehensive loss (“AOCL”):</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22"/>
        <w:gridCol w:w="146"/>
        <w:gridCol w:w="211"/>
        <w:gridCol w:w="841"/>
        <w:gridCol w:w="166"/>
        <w:gridCol w:w="146"/>
        <w:gridCol w:w="272"/>
        <w:gridCol w:w="815"/>
        <w:gridCol w:w="166"/>
        <w:gridCol w:w="146"/>
        <w:gridCol w:w="272"/>
        <w:gridCol w:w="815"/>
        <w:gridCol w:w="166"/>
        <w:gridCol w:w="146"/>
        <w:gridCol w:w="275"/>
        <w:gridCol w:w="823"/>
        <w:gridCol w:w="166"/>
        <w:gridCol w:w="146"/>
        <w:gridCol w:w="211"/>
        <w:gridCol w:w="841"/>
        <w:gridCol w:w="313"/>
      </w:tblGrid>
      <w:tr>
        <w:trPr/>
        <w:tc>
          <w:tcPr>
            <w:tcW w:w="3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w:t>
              <w:br/>
              <w:t>Currency</w:t>
              <w:br/>
              <w:t>Translation</w:t>
              <w:br/>
              <w:t>Adjustment,</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br/>
              <w:t>(Losses) Gains on</w:t>
              <w:br/>
              <w:t>Cash Flow</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br/>
              <w:t>(Losses) Gains on</w:t>
              <w:br/>
              <w:t>Fair Value</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br/>
              <w:t xml:space="preserve">(Losses) Gains on </w:t>
              <w:br/>
              <w:t>Net</w:t>
              <w:br/>
              <w:t>Investment</w:t>
              <w:br/>
              <w:t>Hedging</w:t>
              <w:br/>
              <w:t>Instruments,</w:t>
              <w:br/>
              <w:t>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into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Net change in accumulated other comprehensive income (loss) for the fiscal year ended June 30, 2025</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(loss) income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Amounts reclassified into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Net change in accumulated other comprehensive (loss) income for the fiscal year ended June 30, 2026</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(101,463</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jc w:val="both"/>
        <w:rPr>
          <w:rFonts w:ascii="Times New Roman" w:hAnsi="Times New Roman"/>
          <w:i/>
          <w:color w:val="000000"/>
          <w:sz w:val="20"/>
        </w:rPr>
      </w:pPr>
      <w:r>
        <w:rPr>
          <w:rFonts w:ascii="Times New Roman" w:hAnsi="Times New Roman"/>
          <w:i/>
          <w:color w:val="000000"/>
          <w:sz w:val="20"/>
        </w:rPr>
        <w:t>See Note 16, Derivatives and Hedging Activities, for the amounts reclassified into income (expense) for deferred gains (losses) on hedging instruments recorded in the consolidated statements of operations during the fiscal years ended June 30, 2026 and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Share Repurchase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fiscal year ended June 30, 2026, the Company did not repurchase any shares under the repurchase program. As of June 30, 2026, the Company had $173.5 million of remaining authorization under the share repurchase program.</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AND INCENTIVE PERFORMANCE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maintains a shareholder-approved plan, The Hain Celestial Group, Inc. 2022 Long Term Incentive and Stock Award Plan (as amended, the “2022 Plan”), which was approved at the Company’s 2022 Annual Meeting of Shareholders held on November 17, 2022, and further amended at the Company’s 2024 Annual Meeting of Shareholders held on October 31, 2024 and 2025 Annual Meeting of Shareholders held on October 30, 2025. The 2022 Plan permits the Company to continue making equity-based and other incentive awards in a manner intended to properly incentivize its employees, directors, consultants and other service providers by aligning their interests with the interests of the Company’s shareholders. The 2022 Plan is administered by the Compensation Committee of the Company’s Board of Directors. The Company also historically granted shares under its Amended and Restated 2002 Long-Term Incentive and Stock Award Plan and its 2019 Equity Inducement Award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Beginning in the second quarter of fiscal 2025, a new form of awards was granted to employees that can be settled in cash or stock, at the Company’s discretion. These awards are accounted for as liability-based equity awards since the Company has the ability and intent to settle such awards in cash.</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Award Activity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Stock-based awards are generally issued in the form of restricted share units (“RSUs”), which are service-based awards, and performance share units (“PSUs”) that are subject to the achievement of minimum market conditions or performance goals. RSU awards to employees generally provide for vesting in equal annual installments over a period of three years, with different vesting periods in certain cases. RSU awards to non-employee directors generally provide for a vesting period of one year. For PSU awards, the following share figures are stated at target levels, and the awards outstanding as of June 30, 2026 generally provide for vesting at 0% to 150% or 200% of the target level. Awards of PSUs and RSUs are issued at no cost to the recipient. A summary of all stock-based award activity for the twelve months ended June 30, 2026 is as follows:</w:t>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4321"/>
        <w:gridCol w:w="146"/>
        <w:gridCol w:w="166"/>
        <w:gridCol w:w="719"/>
        <w:gridCol w:w="166"/>
        <w:gridCol w:w="146"/>
        <w:gridCol w:w="280"/>
        <w:gridCol w:w="620"/>
        <w:gridCol w:w="146"/>
        <w:gridCol w:w="146"/>
        <w:gridCol w:w="166"/>
        <w:gridCol w:w="719"/>
        <w:gridCol w:w="166"/>
        <w:gridCol w:w="146"/>
        <w:gridCol w:w="242"/>
        <w:gridCol w:w="658"/>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and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Grant</w:t>
              <w:br/>
              <w:t xml:space="preserve">Date Fair </w:t>
              <w:br/>
              <w:t>Value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and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 xml:space="preserve">Average </w:t>
              <w:br/>
              <w:t>Grant</w:t>
              <w:br/>
              <w:t xml:space="preserve">Date Fair </w:t>
              <w:br/>
              <w:t>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beginning of period - 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end of period - 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RSUs and PSUs granted and of shares vested, and the tax benefit recognized from restricted shares vesting, for the last two fiscal years ended June 30 was as follows:</w:t>
      </w:r>
    </w:p>
    <w:tbl>
      <w:tblPr>
        <w:tblW w:w="6787" w:type="dxa"/>
        <w:jc w:val="left"/>
        <w:tblInd w:w="0" w:type="dxa"/>
        <w:tblLayout w:type="fixed"/>
        <w:tblCellMar>
          <w:top w:w="28" w:type="dxa"/>
          <w:left w:w="28" w:type="dxa"/>
          <w:bottom w:w="28" w:type="dxa"/>
          <w:right w:w="28" w:type="dxa"/>
        </w:tblCellMar>
      </w:tblPr>
      <w:tblGrid>
        <w:gridCol w:w="4366"/>
        <w:gridCol w:w="146"/>
        <w:gridCol w:w="224"/>
        <w:gridCol w:w="607"/>
        <w:gridCol w:w="155"/>
        <w:gridCol w:w="155"/>
        <w:gridCol w:w="224"/>
        <w:gridCol w:w="719"/>
        <w:gridCol w:w="191"/>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RSUs and PSUs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RSUs and PSUs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recognized from RSUs and PSUs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At June 30, 2026, $5,673 of unrecognized stock-based compensation expense related to non-vested RSUs and PSUs was expected to be recognized over a weighted average period of approximately 1.70 and 1.42 years,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Cash-Settled Award Activity</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grants cash-settled awards that are either service-based or subject to the achievement of minimum market conditions or performance goals. Service-based cash awards generally provide for vesting in equal annual installments over a period of three years, with different vesting periods in certain cases. For cash awards tied to minimum market conditions or performance goals, award amounts are stated at target levels with vesting at 0% to 150% of the target level depending on conditions or performance. Cash-based awards are issued at no cost to the recipient.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these cash-settled awards is measured at each reporting period until the awards are settled. The performance-based cash-settled award liability at June 30, 2026 was recorded ratably based on the Company’s projected achievement at the end of the measurement period. The cash incentive award liability was $822 at June 30, 2026, the majority of which is classified as a current liability and reported in accrued expenses and other current liabilities, and the balance included in other non-current liabilities within the consolidated balance sheets.</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the estimated fair value of granted cash-settled awards was $3,392. For the reporting period, the Company recognized a forfeiture adjustment of $2,039. As of June 30, 2026, the total remaining non-vested cash-settled awards outstanding were $4,336.</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Long-Term Incentive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conjunction with the Stock Award Plans, the Company maintains a long-term incentive program (“LTIP”) that provides for equity awards, including market-based PSUs that can be earned over defined performance periods. The participants of the LTIP include certain of the Company’s executive officers and other key executives. The LTIP is administered by the Compensation and Talent Management Committee, which is responsible for, among other items, selecting the specific performance measures for awards, setting the target performance required to receive an award after the completion of the performance period, and determining the specific payout to the participants.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RSUs, the Company uses the fair market value of the Company’s common stock on the grant date to measure fair value for service-based awards and for market-based PSUs, the Company uses a Monte Carlo simulation model to determine the fair value of those awards granted under the LTIP. The fair value of RSUs and PSUs is then used to record stock-based compensation expense. The use of the Monte Carlo simulation model requires the Company to make estimates and assumptions and therefore, the Company has included additional information regarding the terms of the PSUs granted and the inputs into the Monte Carlo simulation model below.</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2026-2029 LTIP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fiscal year ended June 30, 2026, the Company granted market-based PSU awards under the LTIP with a total target payout of 347 shares of common stock. At June 30, 2026, there were 332 such shares outstanding under the LTIP. Such PSU awards will vest, if at all, pursuant to a defined calculation of relative total shareholder return (“TSR”) over the period from December 13, 2025 through the earlier of: (i) December 12, 2028; (ii) the date the participant’s employment is terminated due to death or Disability (as defined in the award agreement); or (iii) the effective date of a Change in Control (as defined in the award agreement) (the “2026 TSR Performance Period”). Total shares eligible to vest range from zero to 100% of the target amount. Grant date fair values are calculated using a Monte Carlo simulation model with grant date fair values per target share and related valuation assumptions as follows:</w:t>
      </w:r>
    </w:p>
    <w:tbl>
      <w:tblPr>
        <w:tblW w:w="4559" w:type="dxa"/>
        <w:jc w:val="left"/>
        <w:tblInd w:w="0" w:type="dxa"/>
        <w:tblLayout w:type="fixed"/>
        <w:tblCellMar>
          <w:top w:w="28" w:type="dxa"/>
          <w:left w:w="28" w:type="dxa"/>
          <w:bottom w:w="28" w:type="dxa"/>
          <w:right w:w="28" w:type="dxa"/>
        </w:tblCellMar>
      </w:tblPr>
      <w:tblGrid>
        <w:gridCol w:w="3166"/>
        <w:gridCol w:w="146"/>
        <w:gridCol w:w="251"/>
        <w:gridCol w:w="680"/>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w:t>
              <w:br/>
              <w:t>TSR 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target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2025-2027 LTIP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fiscal year ended June 30, 2025, the Company granted market-based PSU awards under the LTIP with a total target payout of 652 shares of common stock. Such PSU awards will vest, if at all, pursuant to a defined calculation of relative TSR over the period from October 29, 2024 through the earlier of: (i) October 28, 2027; (ii) the date the participant’s employment is terminated due to death or Disability (as defined in the award agreement); or (iii) the effective date of a Change in Control (as defined in the award agreement) (the “2025 TSR Performance Period”). Total shares eligible to vest range from zero to </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150% of the target amount. Grant date fair values are calculated using a Monte Carlo simulation model with grant date fair values per target share and related valuation assumptions as follows:</w:t>
      </w:r>
    </w:p>
    <w:tbl>
      <w:tblPr>
        <w:tblW w:w="4558" w:type="dxa"/>
        <w:jc w:val="left"/>
        <w:tblInd w:w="0" w:type="dxa"/>
        <w:tblLayout w:type="fixed"/>
        <w:tblCellMar>
          <w:top w:w="28" w:type="dxa"/>
          <w:left w:w="28" w:type="dxa"/>
          <w:bottom w:w="28" w:type="dxa"/>
          <w:right w:w="28" w:type="dxa"/>
        </w:tblCellMar>
      </w:tblPr>
      <w:tblGrid>
        <w:gridCol w:w="3166"/>
        <w:gridCol w:w="146"/>
        <w:gridCol w:w="250"/>
        <w:gridCol w:w="680"/>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w:t>
              <w:br/>
              <w:t>TSR 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target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2024-2026 LTIP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fiscal year ended June 30, 2024, the Company granted market-based PSU awards under the LTIP with a total target payout of 618 shares of common stock. Such PSU awards will vest, if at all, pursuant to a defined calculation of either relative TSR or absolute TSR (as defined in the award agreement) over the period from October 26, 2023 through the earlier of: (i) October 25, 2026; (ii) the date the participant’s employment is terminated due to death or Disability (as defined in the award agreement); or (iii) the effective date of a Change in Control (as defined in the award agreement) (the “2024 TSR Performance Period”). Vesting of 370 target shares of the outstanding PSU awards is pursuant to a defined calculation of relative TSR over the 2024 TSR Performance Period (the “2024 Relative TSR PSUs”). Vesting of the absolute PSU awards is pursuant to the achievement of pre-established three-year compound annual TSR targets over the 2024 TSR Performance Period (the “2024 Absolute TSR PSUs”). Total shares eligible to vest for both the 2024 Relative TSR PSUs and 2024 Absolute TSR PSUs range from zero to 200% of the target amount. Grant date fair values are calculated using a Monte Carlo simulation model with grant date fair values per target share and related valuation assumptions as follows:</w:t>
      </w:r>
    </w:p>
    <w:tbl>
      <w:tblPr>
        <w:tblW w:w="6087" w:type="dxa"/>
        <w:jc w:val="left"/>
        <w:tblInd w:w="0" w:type="dxa"/>
        <w:tblLayout w:type="fixed"/>
        <w:tblCellMar>
          <w:top w:w="28" w:type="dxa"/>
          <w:left w:w="28" w:type="dxa"/>
          <w:bottom w:w="28" w:type="dxa"/>
          <w:right w:w="28" w:type="dxa"/>
        </w:tblCellMar>
      </w:tblPr>
      <w:tblGrid>
        <w:gridCol w:w="3166"/>
        <w:gridCol w:w="146"/>
        <w:gridCol w:w="262"/>
        <w:gridCol w:w="709"/>
        <w:gridCol w:w="336"/>
        <w:gridCol w:w="181"/>
        <w:gridCol w:w="262"/>
        <w:gridCol w:w="709"/>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br/>
              <w:t>TSR PSUs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w:t>
              <w:br/>
              <w:t>TSR 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target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righ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2023-2025 LTIP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fiscal year ended June 30, 2023, the Company granted market-based PSU awards under the LTIP with a total target payout of 429 shares of common stock. Such PSU awards will vest, if at all, pursuant to a defined calculation of either relative TSR or absolute TSR (as defined in the award agreement) over the period from September 6, 2022 through the earlier of: (i) September 6, 2025; (ii) the date the participant’s employment is terminated due to death or Disability (as defined in the award agreement); or (iii) the effective date of a Change in Control (as defined in the award agreement) (the “2023 TSR Performance Period”). Vesting of relative PSU target shares is pursuant to a defined calculation of relative TSR over the 2023 TSR Performance Period (the “2023 Relative TSR PSUs”). Vesting of absolute target shares of the outstanding PSU awards is pursuant to the achievement of pre-established three-year compound annual TSR targets over the 2023 TSR Performance Period (the “2023 Absolute TSR PSUs”). Total shares eligible to vest for both the 2023 Relative TSR PSUs and 2023 Absolute TSR PSUs range from zero to 200% of the target amount. Grant date fair values are calculated using a Monte Carlo simulation model with grant date fair values per target share and related valuation assumptions as follows:</w:t>
      </w:r>
    </w:p>
    <w:p>
      <w:pPr>
        <w:pStyle w:val="TextBody"/>
        <w:bidi w:val="0"/>
        <w:spacing w:before="200" w:after="283"/>
        <w:jc w:val="both"/>
        <w:rPr/>
      </w:pPr>
      <w:r>
        <w:rPr/>
        <w:t> </w:t>
      </w:r>
    </w:p>
    <w:tbl>
      <w:tblPr>
        <w:tblW w:w="6087" w:type="dxa"/>
        <w:jc w:val="left"/>
        <w:tblInd w:w="0" w:type="dxa"/>
        <w:tblLayout w:type="fixed"/>
        <w:tblCellMar>
          <w:top w:w="28" w:type="dxa"/>
          <w:left w:w="28" w:type="dxa"/>
          <w:bottom w:w="28" w:type="dxa"/>
          <w:right w:w="28" w:type="dxa"/>
        </w:tblCellMar>
      </w:tblPr>
      <w:tblGrid>
        <w:gridCol w:w="3166"/>
        <w:gridCol w:w="146"/>
        <w:gridCol w:w="262"/>
        <w:gridCol w:w="709"/>
        <w:gridCol w:w="336"/>
        <w:gridCol w:w="181"/>
        <w:gridCol w:w="262"/>
        <w:gridCol w:w="709"/>
        <w:gridCol w:w="31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Absolute</w:t>
              <w:br/>
              <w:t>TSR PSUs</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Relative</w:t>
              <w:br/>
              <w:t>TSR 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(per target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CEO Succession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7, 2025, the Company announced that Wendy P. Davidson departed as President and Chief Executive Officer and as a member of the Board effective May 6, 2025. In accordance with the agreement governing her make-whole RSU award, which was granted in recognition of compensation Ms. Davidson forfeited by leaving her former employer, the remaining 32 unvested make-whole RSUs she held at that time accelerated and vested as of May 6, 2025. All other unvested equity awards held by Ms. Davidson were forfeited in their entirety as of such date.</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Board appointed Alison E. Lewis, a member of the Board since September 2024, as Interim President and CEO on May 7, 2025. In connection with her appointment, Ms. Lewis received an RSU award of 621 RSUs that vest over a one-year period subject to Ms. Lewis’s continued employment as Interim President and Chief Executive Officer and certain other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15, 2025, the Board appointment Ms. Lewis as President and Chief Executive Officer, at which time she vested in a prorated portion of that grant, resulting in the vesting of 378 shares of common stock and the residual awards were forfeited.</w:t>
      </w:r>
    </w:p>
    <w:p>
      <w:pPr>
        <w:pStyle w:val="TextBody"/>
        <w:bidi w:val="0"/>
        <w:spacing w:before="0" w:after="283"/>
        <w:jc w:val="both"/>
        <w:rPr>
          <w:rFonts w:ascii="Times New Roman" w:hAnsi="Times New Roman"/>
          <w:color w:val="000000"/>
          <w:sz w:val="20"/>
        </w:rPr>
      </w:pPr>
      <w:r>
        <w:rPr>
          <w:rFonts w:ascii="Times New Roman" w:hAnsi="Times New Roman"/>
          <w:color w:val="000000"/>
          <w:sz w:val="20"/>
        </w:rPr>
        <w:t>On December 15, 2025, Ms. Lewis received a grant under the LTIP for a total of 2,150 share units comprising 1,500 PSUs and 650 RSUs which represent the total three-year long-term incentive opportunity that would have been granted under the fiscal year 2026 – 2028 LTIP. The PSUs will vest upon the achievement of pre-established stock price targets while she is employed as follows: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375 shares if the 30-trading day average stock price equals or exceeds $3.00; estimated grant date fair value of $0.71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375 shares if the 30-trading day average stock price equals or exceeds $5.00; estimated grant date fair value of $0.47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375 shares if the 30-trading day average stock price equals or exceeds $7.00; estimated grant date fair value of $0.33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375 shares if the 30-trading day average stock price equals or exceeds $9.00; estimated grant date fair value of $0.24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volatility assumption used was 70.4% and the risk-free rate was 3.56%. The expected term is 3 years. The RSUs will vest one-third each year on the anniversary of the start date, subject to her continued employment.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Summary of 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Compensation cost and related income tax benefits recognized on the consolidated statements of operations for stock-based compensation plans were as follows:</w:t>
      </w:r>
    </w:p>
    <w:p>
      <w:pPr>
        <w:pStyle w:val="TextBody"/>
        <w:bidi w:val="0"/>
        <w:jc w:val="both"/>
        <w:rPr/>
      </w:pPr>
      <w:r>
        <w:rPr/>
        <w:t> </w:t>
      </w:r>
    </w:p>
    <w:tbl>
      <w:tblPr>
        <w:tblW w:w="6532" w:type="dxa"/>
        <w:jc w:val="left"/>
        <w:tblInd w:w="0" w:type="dxa"/>
        <w:tblLayout w:type="fixed"/>
        <w:tblCellMar>
          <w:top w:w="28" w:type="dxa"/>
          <w:left w:w="28" w:type="dxa"/>
          <w:bottom w:w="28" w:type="dxa"/>
          <w:right w:w="28" w:type="dxa"/>
        </w:tblCellMar>
      </w:tblPr>
      <w:tblGrid>
        <w:gridCol w:w="4111"/>
        <w:gridCol w:w="146"/>
        <w:gridCol w:w="237"/>
        <w:gridCol w:w="641"/>
        <w:gridCol w:w="164"/>
        <w:gridCol w:w="164"/>
        <w:gridCol w:w="237"/>
        <w:gridCol w:w="64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Cash-settled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Related 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grant any stock options in fiscal years 2026 or 2025, and there were no stock options exercised during these periods. There were 122 stock options outstanding at each of June 30, 2026 and 2025, relating to a grant under a prior plan. Although no further awards can be granted under the prior plan, the stock options outstanding continue in accordance with the terms of the plan and grant. For stock options outstanding and exercisable at June 30, 2026, the aggregate intrinsic value (the difference between the closing stock price on the last day of trading in the year and the exercise price) was nil, and the weighted average remaining contractual life was 5.78 years. The weighted average exercise price of these stock options was $2.26. At June 30, 2026, there was no unrecognized compensation expense related to stock option awards.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financial assets and liabilities measured at fair value are required to be grouped in one of three levels. The levels prioritize the inputs used to measure the fair value of the assets or liabilities. These levels are: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 Unadjusted quoted prices in active markets that are accessible at the measurement date for identical, unrestricted assets or liabilities;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Level 2 – Quoted prices in markets that are not active, or inputs which are observable, either directly or indirectly, for substantially the full term of the asset or liability;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Level 3 – Prices or valuation techniques that require inputs that are both significant to the fair value measurement and unobservable (i.e., supported by little or no market activity).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assets and liabilities measured at fair value on a recurring basis as of June 30, 2026:</w:t>
      </w:r>
    </w:p>
    <w:p>
      <w:pPr>
        <w:pStyle w:val="TextBody"/>
        <w:bidi w:val="0"/>
        <w:jc w:val="both"/>
        <w:rPr/>
      </w:pPr>
      <w:r>
        <w:rPr/>
        <w:t> </w:t>
      </w:r>
    </w:p>
    <w:tbl>
      <w:tblPr>
        <w:tblW w:w="7534" w:type="dxa"/>
        <w:jc w:val="left"/>
        <w:tblInd w:w="0" w:type="dxa"/>
        <w:tblLayout w:type="fixed"/>
        <w:tblCellMar>
          <w:top w:w="28" w:type="dxa"/>
          <w:left w:w="28" w:type="dxa"/>
          <w:bottom w:w="28" w:type="dxa"/>
          <w:right w:w="28" w:type="dxa"/>
        </w:tblCellMar>
      </w:tblPr>
      <w:tblGrid>
        <w:gridCol w:w="2731"/>
        <w:gridCol w:w="146"/>
        <w:gridCol w:w="211"/>
        <w:gridCol w:w="676"/>
        <w:gridCol w:w="146"/>
        <w:gridCol w:w="146"/>
        <w:gridCol w:w="283"/>
        <w:gridCol w:w="467"/>
        <w:gridCol w:w="146"/>
        <w:gridCol w:w="146"/>
        <w:gridCol w:w="211"/>
        <w:gridCol w:w="676"/>
        <w:gridCol w:w="146"/>
        <w:gridCol w:w="146"/>
        <w:gridCol w:w="403"/>
        <w:gridCol w:w="663"/>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assets and liabilities measured at fair value on a recurring basis as of June 30, 2025:</w:t>
      </w:r>
    </w:p>
    <w:p>
      <w:pPr>
        <w:pStyle w:val="TextBody"/>
        <w:bidi w:val="0"/>
        <w:jc w:val="both"/>
        <w:rPr/>
      </w:pPr>
      <w:r>
        <w:rPr/>
        <w:t> </w:t>
      </w:r>
    </w:p>
    <w:tbl>
      <w:tblPr>
        <w:tblW w:w="7534" w:type="dxa"/>
        <w:jc w:val="left"/>
        <w:tblInd w:w="0" w:type="dxa"/>
        <w:tblLayout w:type="fixed"/>
        <w:tblCellMar>
          <w:top w:w="28" w:type="dxa"/>
          <w:left w:w="28" w:type="dxa"/>
          <w:bottom w:w="28" w:type="dxa"/>
          <w:right w:w="28" w:type="dxa"/>
        </w:tblCellMar>
      </w:tblPr>
      <w:tblGrid>
        <w:gridCol w:w="2731"/>
        <w:gridCol w:w="146"/>
        <w:gridCol w:w="211"/>
        <w:gridCol w:w="676"/>
        <w:gridCol w:w="146"/>
        <w:gridCol w:w="146"/>
        <w:gridCol w:w="283"/>
        <w:gridCol w:w="467"/>
        <w:gridCol w:w="146"/>
        <w:gridCol w:w="146"/>
        <w:gridCol w:w="211"/>
        <w:gridCol w:w="676"/>
        <w:gridCol w:w="146"/>
        <w:gridCol w:w="146"/>
        <w:gridCol w:w="403"/>
        <w:gridCol w:w="663"/>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 in</w:t>
              <w:br/>
              <w:t>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of financial instruments between the three levels of fair value hierarchy during the fiscal years ended June 30, 2026 or 2025.</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interest rate swaps to manage interest rate risk and cross-currency swaps and foreign currency exchange contracts to manage exposure to currency fluctuations. These instruments are valued using techniques like DCF analysis, which considers the contractual terms and market-based inputs such as interest rate curves and implied volatilities. The fair values of interest rate swaps are determined by netting the discounted future fixed and variable cash flows. The variable cash flows are based on expected future interest rates.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valuation adjustments are made to reflect the nonperformance risk of both the Company and its counterparties. Most inputs used to value derivatives fall within Level 2 of the fair value hierarchy, but credit valuation adjustments use Level 3 inputs, such as current credit spreads. The impact of these adjustments was not significant to the overall valuation, so all derivatives as of June 30, 2026 and June 30, 2025 were classified as Level 2.</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Nonrecurring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certain non-financial assets, such as goodwill, indefinite and definite lived intangible assets, and long-lived assets (property and equipment, and right-of-use lease assets), at fair value on a nonrecurring basis. These assets are initially measured at fair value at the time of acquisition or purchase, with adjustments only for foreign currency translation. Periodically, these assets are tested for impairment by comparing their carrying values to their estimated fair values. If an asset is impaired, the Company recognizes an impairment expense equal to the excess of the carrying value over the estimated fair value.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indefinite-lived intangible assets, fair value is determined using the relief from royalty approach, considering factors like future growth, royalty rates, discount rates, and other variables. Fair value measurements for reporting units are estimated using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blended analysis of the DCF income approach and GPCM market approach, which involve significant management judgment and Level 3 inputs, such as economic conditions and customer demand. These measurements are performed at least annually for impairment testing. The Company bases its fair value estimates on reasonable assumptions but acknowledges their unpredictability and inherent uncertainty.</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fiscal year ended June 30, 2026, the Company recorded non-cash impairment charges of $38,495, $112,431, and $42,293 associated with the U.S., U.K., and Western Europe reporting units, respectively, as discussed in Note 9, </w:t>
      </w:r>
      <w:r>
        <w:rPr>
          <w:rFonts w:ascii="Times New Roman" w:hAnsi="Times New Roman"/>
          <w:i/>
          <w:color w:val="000000"/>
          <w:sz w:val="20"/>
        </w:rPr>
        <w:t>Goodwill and Other Intangible Assets</w:t>
      </w:r>
      <w:r>
        <w:rPr>
          <w:rFonts w:ascii="Times New Roman" w:hAnsi="Times New Roman"/>
          <w:color w:val="000000"/>
          <w:sz w:val="20"/>
        </w:rPr>
        <w:t>. As of June 30, 2026, the U.S., U.K., and Western Europe goodwill balances were classified as a Level 3 asset measured at fair value on a nonrecurring basis with estimated reporting unit fair values of $460,000, $227,121, and $89,112, respectively.</w:t>
      </w:r>
    </w:p>
    <w:p>
      <w:pPr>
        <w:pStyle w:val="TextBody"/>
        <w:bidi w:val="0"/>
        <w:spacing w:lineRule="auto" w:line="360" w:before="200" w:after="283"/>
        <w:jc w:val="both"/>
        <w:rPr>
          <w:rFonts w:ascii="Times New Roman" w:hAnsi="Times New Roman"/>
          <w:sz w:val="13"/>
        </w:rPr>
      </w:pPr>
      <w:r>
        <w:rPr>
          <w:rFonts w:ascii="Times New Roman" w:hAnsi="Times New Roman"/>
          <w:color w:val="000000"/>
          <w:sz w:val="20"/>
        </w:rPr>
        <w:t>During the fiscal year ended June 30, 2026, the Company conducted an interim quantitative impairment test and recorded an aggregate non-cash impairment charges of $14,615</w:t>
      </w:r>
      <w:r>
        <w:rPr>
          <w:rFonts w:ascii="Times New Roman" w:hAnsi="Times New Roman"/>
          <w:color w:val="000000"/>
          <w:sz w:val="13"/>
        </w:rPr>
        <w:t xml:space="preserve"> </w:t>
      </w:r>
      <w:r>
        <w:rPr>
          <w:rFonts w:ascii="Times New Roman" w:hAnsi="Times New Roman"/>
          <w:color w:val="000000"/>
          <w:sz w:val="20"/>
        </w:rPr>
        <w:t>for its Earth’s Best</w:t>
      </w:r>
      <w:r>
        <w:rPr>
          <w:rFonts w:ascii="Times New Roman" w:hAnsi="Times New Roman"/>
          <w:color w:val="000000"/>
          <w:sz w:val="13"/>
        </w:rPr>
        <w:t xml:space="preserve">® </w:t>
      </w:r>
      <w:r>
        <w:rPr>
          <w:rFonts w:ascii="Times New Roman" w:hAnsi="Times New Roman"/>
          <w:color w:val="000000"/>
          <w:sz w:val="20"/>
        </w:rPr>
        <w:t>Organic, Hartley’s</w:t>
      </w:r>
      <w:r>
        <w:rPr>
          <w:rFonts w:ascii="Times New Roman" w:hAnsi="Times New Roman"/>
          <w:color w:val="000000"/>
          <w:sz w:val="13"/>
        </w:rPr>
        <w:t xml:space="preserve">® </w:t>
      </w:r>
      <w:r>
        <w:rPr>
          <w:rFonts w:ascii="Times New Roman" w:hAnsi="Times New Roman"/>
          <w:color w:val="000000"/>
          <w:sz w:val="20"/>
        </w:rPr>
        <w:t>jelly, and Spectrum</w:t>
      </w:r>
      <w:r>
        <w:rPr>
          <w:rFonts w:ascii="Times New Roman" w:hAnsi="Times New Roman"/>
          <w:color w:val="000000"/>
          <w:sz w:val="13"/>
        </w:rPr>
        <w:t xml:space="preserve">® </w:t>
      </w:r>
      <w:r>
        <w:rPr>
          <w:rFonts w:ascii="Times New Roman" w:hAnsi="Times New Roman"/>
          <w:color w:val="000000"/>
          <w:sz w:val="20"/>
        </w:rPr>
        <w:t xml:space="preserve">indefinite-lived tradenames, as discussed in Note 9, </w:t>
      </w:r>
      <w:r>
        <w:rPr>
          <w:rFonts w:ascii="Times New Roman" w:hAnsi="Times New Roman"/>
          <w:i/>
          <w:color w:val="000000"/>
          <w:sz w:val="20"/>
        </w:rPr>
        <w:t>Goodwill and Other Intangible Assets</w:t>
      </w:r>
      <w:r>
        <w:rPr>
          <w:rFonts w:ascii="Times New Roman" w:hAnsi="Times New Roman"/>
          <w:color w:val="000000"/>
          <w:sz w:val="20"/>
        </w:rPr>
        <w: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fiscal year ended June 30, 2025, the Company recorded aggregate non-cash impairment charges of $357,679 and $71,203 related to goodwill within its North America and International reportable segments, respectively, as discussed in Note 9, </w:t>
      </w:r>
      <w:r>
        <w:rPr>
          <w:rFonts w:ascii="Times New Roman" w:hAnsi="Times New Roman"/>
          <w:i/>
          <w:color w:val="000000"/>
          <w:sz w:val="20"/>
        </w:rPr>
        <w:t>Goodwill and Other Intangible Assets</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DERIVATIVES AND HEDGING ACTIVITIES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 Management Objective of Using Derivatives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certain risks arising from both its business operations and economic conditions. The Company manages its exposures to a wide variety of business and operational risks.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receivables and borrowings.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of the Company’s foreign operations expose the Company to fluctuations of foreign exchange rates. These fluctuations may impact the value of the Company’s cash receipts and payments in terms of the Company’s functional currency. The Company enters into derivative financial instruments to protect the value or fix the amount of certain assets and liabilities in terms of its functional currency, the U.S. Dollar. Accordingly, the Company uses derivative financial instruments to manage and mitigate such risks. The Company does not use derivatives for speculative or trading purposes.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fiscal 2026 and 2025, such derivatives were used to hedge the variable cash flows associated with existing variable rate debt.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and that qualify as cash flow hedges of interest rate risk, the gain or loss on the derivative is recorded in AOCL and subsequently reclassified into interest expense in the same period during which the hedged transaction affects earnings. Amounts reported in AOCL related to derivatives will be reclassified to interest expense as interest payments are made on the Company’s variable rate debt. During the next 12 months, the Company estimates that an additional $1,528 will be reclassified as a decrease to interest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the following outstanding interest rate derivatives that were designated as cash flow hedges of interest rate risk:</w:t>
      </w:r>
    </w:p>
    <w:p>
      <w:pPr>
        <w:pStyle w:val="TextBody"/>
        <w:bidi w:val="0"/>
        <w:jc w:val="both"/>
        <w:rPr/>
      </w:pPr>
      <w:r>
        <w:rPr/>
        <w:t> </w:t>
      </w:r>
    </w:p>
    <w:tbl>
      <w:tblPr>
        <w:tblW w:w="5510" w:type="dxa"/>
        <w:jc w:val="left"/>
        <w:tblInd w:w="0" w:type="dxa"/>
        <w:tblLayout w:type="fixed"/>
        <w:tblCellMar>
          <w:top w:w="28" w:type="dxa"/>
          <w:left w:w="28" w:type="dxa"/>
          <w:bottom w:w="28" w:type="dxa"/>
          <w:right w:w="28" w:type="dxa"/>
        </w:tblCellMar>
      </w:tblPr>
      <w:tblGrid>
        <w:gridCol w:w="1876"/>
        <w:gridCol w:w="146"/>
        <w:gridCol w:w="1786"/>
        <w:gridCol w:w="146"/>
        <w:gridCol w:w="290"/>
        <w:gridCol w:w="1075"/>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 rate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Cash Flow Hedges of Foreign Exchange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fluctuations in various foreign currencies against its functional currency, the U.S. Dollar. The Company, at times, uses forward contracts to manage its exposure to fluctuations in the GBP-EUR exchange rates. The Company designates these derivatives as cash flow hedges of foreign exchange risks.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derivatives designated and that qualify as cash flow hedges of foreign exchange risk, the gain or loss on the derivative is recorded in AOCL and subsequently reclassified in the same period during which the hedged transaction affects earnings within the same income statement line item as the earnings effect of the hedged transaction. During the next 12 months, the Company estimates that an additional $96 relating to the foreign currency forward contracts will be reclassified to interest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the following outstanding foreign currency derivatives that were used to hedge its foreign exchange risks:</w:t>
      </w:r>
    </w:p>
    <w:p>
      <w:pPr>
        <w:pStyle w:val="TextBody"/>
        <w:bidi w:val="0"/>
        <w:spacing w:before="200" w:after="283"/>
        <w:jc w:val="both"/>
        <w:rPr/>
      </w:pPr>
      <w:r>
        <w:rPr/>
        <w:t> </w:t>
      </w:r>
    </w:p>
    <w:tbl>
      <w:tblPr>
        <w:tblW w:w="8052" w:type="dxa"/>
        <w:jc w:val="left"/>
        <w:tblInd w:w="0" w:type="dxa"/>
        <w:tblLayout w:type="fixed"/>
        <w:tblCellMar>
          <w:top w:w="28" w:type="dxa"/>
          <w:left w:w="28" w:type="dxa"/>
          <w:bottom w:w="28" w:type="dxa"/>
          <w:right w:w="28" w:type="dxa"/>
        </w:tblCellMar>
      </w:tblPr>
      <w:tblGrid>
        <w:gridCol w:w="2866"/>
        <w:gridCol w:w="146"/>
        <w:gridCol w:w="1786"/>
        <w:gridCol w:w="146"/>
        <w:gridCol w:w="260"/>
        <w:gridCol w:w="835"/>
        <w:gridCol w:w="146"/>
        <w:gridCol w:w="146"/>
        <w:gridCol w:w="383"/>
        <w:gridCol w:w="1147"/>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Purchased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Foreign currency forward contract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1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Net Investment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fluctuations in foreign exchange rates on investments it holds in its European foreign entities and their exposure to the Euro. The Company uses fixed-to-fixed cross-currency swaps to hedge its exposure to changes in the foreign exchange rate on its foreign investment in Western Europe. Currency forward agreements involve fixing the USD-EUR exchange rate for delivery of a specified amount of foreign currency on a specified date. The currency forward agreements are typically cash settled in U.S. Dollars for their fair value at or close to their settlement date. Cross-currency swaps involve the receipt of functional-currency-fixed-rate amounts from a counterparty in exchange for the Company making foreign-currency-fixed-rate payments over the life of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as net investment hedges, the gain or loss on the derivative is reported in AOCL as part of the cumulative translation adjustment. Amounts are reclassified out of AOCL into earnings when the hedged net investment is either sold or substantially liquidated.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fiscal year ended June 30, 2025, the Company terminated four EUR-USD cross-currency swaps across various counterparties and received proceeds of $2,363. The Company simultaneously entered into new, at-market cross currency swaps with the same aggregate notional amount as the previous net investment hedges. The gain from termination will remain in AOCL until the net investment is sold or substantially liquidated.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the following outstanding foreign currency derivatives that were used to hedge its net investments in foreign operations:</w:t>
      </w:r>
    </w:p>
    <w:p>
      <w:pPr>
        <w:pStyle w:val="TextBody"/>
        <w:bidi w:val="0"/>
        <w:jc w:val="left"/>
        <w:rPr/>
      </w:pPr>
      <w:r>
        <w:rPr/>
        <w:t> </w:t>
      </w:r>
    </w:p>
    <w:tbl>
      <w:tblPr>
        <w:tblW w:w="7422" w:type="dxa"/>
        <w:jc w:val="left"/>
        <w:tblInd w:w="0" w:type="dxa"/>
        <w:tblLayout w:type="fixed"/>
        <w:tblCellMar>
          <w:top w:w="28" w:type="dxa"/>
          <w:left w:w="28" w:type="dxa"/>
          <w:bottom w:w="28" w:type="dxa"/>
          <w:right w:w="28" w:type="dxa"/>
        </w:tblCellMar>
      </w:tblPr>
      <w:tblGrid>
        <w:gridCol w:w="2236"/>
        <w:gridCol w:w="146"/>
        <w:gridCol w:w="1786"/>
        <w:gridCol w:w="146"/>
        <w:gridCol w:w="245"/>
        <w:gridCol w:w="850"/>
        <w:gridCol w:w="146"/>
        <w:gridCol w:w="146"/>
        <w:gridCol w:w="325"/>
        <w:gridCol w:w="1205"/>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Purchased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Cross-currency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Fair Value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exposed to changes in the fair value of certain of its foreign denominated intercompany loans due to changes in foreign exchange spot rates. The Company uses fixed-to-fixed cross-currency swaps to hedge its exposure to changes in foreign exchange rates affecting gains and losses on intercompany loan principal and interest. Cross-currency swaps involve the receipt of functional-currency-fixed-rate amounts from a counterparty in exchange for the Company making foreign-currency-fixed-rate payments over the life of the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derivatives designated and that qualify as fair value hedges, the gain or loss on the derivative as well as the offsetting loss or gain on the hedged item attributable to the hedged risk are recognized in interest and other financing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Gains and losses on the derivative representing hedge components excluded from the assessment of effectiveness are recognized over the life of the hedge on a systematic and rational basis, as documented at hedge inception in accordance with the Company’s accounting policy election. The earnings recognition of excluded components is presented in the same income statement line item as the earnings effect of the hedged transaction.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2025, the Company terminated one EUR-USD cross-currency swap and received proceeds of $552. The Company simultaneously entered into a new, at-market cross currency swap with the same notional amount as the previous fair value hedge. A portion of gain was recognized in the statement of comprehensive loss, and the balance was deferred to AOCL where it will be amortized on a straight-line basis.</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2026, the Company had the following outstanding foreign currency derivatives that were used to hedge changes in fair value attributable to foreign exchange risk:</w:t>
      </w:r>
    </w:p>
    <w:p>
      <w:pPr>
        <w:pStyle w:val="TextBody"/>
        <w:bidi w:val="0"/>
        <w:jc w:val="both"/>
        <w:rPr/>
      </w:pPr>
      <w:r>
        <w:rPr/>
        <w:t> </w:t>
      </w:r>
    </w:p>
    <w:tbl>
      <w:tblPr>
        <w:tblW w:w="7422" w:type="dxa"/>
        <w:jc w:val="left"/>
        <w:tblInd w:w="0" w:type="dxa"/>
        <w:tblLayout w:type="fixed"/>
        <w:tblCellMar>
          <w:top w:w="28" w:type="dxa"/>
          <w:left w:w="28" w:type="dxa"/>
          <w:bottom w:w="28" w:type="dxa"/>
          <w:right w:w="28" w:type="dxa"/>
        </w:tblCellMar>
      </w:tblPr>
      <w:tblGrid>
        <w:gridCol w:w="2236"/>
        <w:gridCol w:w="146"/>
        <w:gridCol w:w="1786"/>
        <w:gridCol w:w="146"/>
        <w:gridCol w:w="274"/>
        <w:gridCol w:w="821"/>
        <w:gridCol w:w="146"/>
        <w:gridCol w:w="146"/>
        <w:gridCol w:w="364"/>
        <w:gridCol w:w="1166"/>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Notional Purchased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Cross-currency swap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the following amounts were recorded on the consolidated balance sheets related to cumulative basis adjustment for fair value hedges:</w:t>
      </w:r>
    </w:p>
    <w:tbl>
      <w:tblPr>
        <w:tblW w:w="10205" w:type="dxa"/>
        <w:jc w:val="left"/>
        <w:tblInd w:w="0" w:type="dxa"/>
        <w:tblLayout w:type="fixed"/>
        <w:tblCellMar>
          <w:top w:w="28" w:type="dxa"/>
          <w:left w:w="28" w:type="dxa"/>
          <w:bottom w:w="28" w:type="dxa"/>
          <w:right w:w="28" w:type="dxa"/>
        </w:tblCellMar>
      </w:tblPr>
      <w:tblGrid>
        <w:gridCol w:w="1945"/>
        <w:gridCol w:w="146"/>
        <w:gridCol w:w="256"/>
        <w:gridCol w:w="822"/>
        <w:gridCol w:w="177"/>
        <w:gridCol w:w="177"/>
        <w:gridCol w:w="256"/>
        <w:gridCol w:w="822"/>
        <w:gridCol w:w="146"/>
        <w:gridCol w:w="146"/>
        <w:gridCol w:w="604"/>
        <w:gridCol w:w="1378"/>
        <w:gridCol w:w="475"/>
        <w:gridCol w:w="418"/>
        <w:gridCol w:w="604"/>
        <w:gridCol w:w="1636"/>
        <w:gridCol w:w="197"/>
      </w:tblGrid>
      <w:tr>
        <w:trPr/>
        <w:tc>
          <w:tcPr>
            <w:tcW w:w="1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Amount of the Hedged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 Amount of Fair Value Hedge Adjustment Included in the Carrying Amount of the Hedged Asset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loan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28,193</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Designated Hedges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fair value of the Company’s derivative financial instruments as well as their classification on the consolidated balance sheets as of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4"/>
        <w:gridCol w:w="146"/>
        <w:gridCol w:w="2208"/>
        <w:gridCol w:w="146"/>
        <w:gridCol w:w="225"/>
        <w:gridCol w:w="610"/>
        <w:gridCol w:w="146"/>
        <w:gridCol w:w="146"/>
        <w:gridCol w:w="2427"/>
        <w:gridCol w:w="146"/>
        <w:gridCol w:w="211"/>
        <w:gridCol w:w="676"/>
        <w:gridCol w:w="194"/>
      </w:tblGrid>
      <w:tr>
        <w:trPr/>
        <w:tc>
          <w:tcPr>
            <w:tcW w:w="2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0"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Derivatives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fair value of the Company’s derivative financial instruments as well as their classification on the consolidated balance sheets as of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1"/>
        <w:gridCol w:w="146"/>
        <w:gridCol w:w="2244"/>
        <w:gridCol w:w="146"/>
        <w:gridCol w:w="225"/>
        <w:gridCol w:w="609"/>
        <w:gridCol w:w="146"/>
        <w:gridCol w:w="146"/>
        <w:gridCol w:w="2436"/>
        <w:gridCol w:w="146"/>
        <w:gridCol w:w="211"/>
        <w:gridCol w:w="676"/>
        <w:gridCol w:w="193"/>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Derivatives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 designated as hedging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19,706</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pre-tax effect of the Company’s cash flow hedges, net investment hedges, and fair value hedges on AOCL for fiscal years ended June 30, 2026 and 2025:</w:t>
      </w:r>
    </w:p>
    <w:tbl>
      <w:tblPr>
        <w:tblW w:w="9950" w:type="dxa"/>
        <w:jc w:val="left"/>
        <w:tblInd w:w="0" w:type="dxa"/>
        <w:tblLayout w:type="fixed"/>
        <w:tblCellMar>
          <w:top w:w="28" w:type="dxa"/>
          <w:left w:w="28" w:type="dxa"/>
          <w:bottom w:w="28" w:type="dxa"/>
          <w:right w:w="28" w:type="dxa"/>
        </w:tblCellMar>
      </w:tblPr>
      <w:tblGrid>
        <w:gridCol w:w="4381"/>
        <w:gridCol w:w="146"/>
        <w:gridCol w:w="528"/>
        <w:gridCol w:w="1431"/>
        <w:gridCol w:w="416"/>
        <w:gridCol w:w="365"/>
        <w:gridCol w:w="528"/>
        <w:gridCol w:w="1844"/>
        <w:gridCol w:w="3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Gain (Loss) Recognized in AOCL on Derivatives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cash flow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net investment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fair value hedging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38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Cross-currency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41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84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7,935</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pre-tax effect of the Company’s cash flow hedges, net investment hedges, and fair value hedges on the consolidated statements of operations, recorded in interest and other financing expense, net, for fiscal years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0"/>
        <w:gridCol w:w="146"/>
        <w:gridCol w:w="616"/>
        <w:gridCol w:w="1669"/>
        <w:gridCol w:w="485"/>
        <w:gridCol w:w="426"/>
        <w:gridCol w:w="616"/>
        <w:gridCol w:w="1844"/>
        <w:gridCol w:w="293"/>
      </w:tblGrid>
      <w:tr>
        <w:trPr/>
        <w:tc>
          <w:tcPr>
            <w:tcW w:w="4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 of Gain (Loss) Reclassified from AOCL into Income (Expense)</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cash flow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financing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0"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net investment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Derivatives in fair value hedging relationships: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85"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10"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100"/>
              <w:jc w:val="left"/>
              <w:rPr>
                <w:rFonts w:ascii="Times New Roman" w:hAnsi="Times New Roman"/>
                <w:sz w:val="20"/>
              </w:rPr>
            </w:pPr>
            <w:r>
              <w:rPr>
                <w:rFonts w:ascii="Times New Roman" w:hAnsi="Times New Roman"/>
                <w:color w:val="000000"/>
                <w:sz w:val="20"/>
              </w:rPr>
              <w:t>Cross-currency swaps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6,531</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both"/>
        <w:rPr>
          <w:rFonts w:ascii="Times New Roman" w:hAnsi="Times New Roman"/>
          <w:sz w:val="20"/>
        </w:rPr>
      </w:pPr>
      <w:r>
        <w:rPr>
          <w:rFonts w:ascii="Times New Roman" w:hAnsi="Times New Roman"/>
          <w:i/>
          <w:color w:val="000000"/>
          <w:sz w:val="20"/>
        </w:rPr>
        <w:t>Net of amount that is excluded from effectiveness testing. The amount of gain, excluded from effectiveness testing, reclassified from AOCL into income for fiscal years 2026 and 2025 was $440</w:t>
      </w:r>
      <w:r>
        <w:rPr>
          <w:rFonts w:ascii="Times New Roman" w:hAnsi="Times New Roman"/>
          <w:color w:val="000000"/>
          <w:sz w:val="20"/>
        </w:rPr>
        <w:t xml:space="preserve"> </w:t>
      </w:r>
      <w:r>
        <w:rPr>
          <w:rFonts w:ascii="Times New Roman" w:hAnsi="Times New Roman"/>
          <w:i/>
          <w:color w:val="000000"/>
          <w:sz w:val="20"/>
        </w:rPr>
        <w:t>and $460, respectively.</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17.</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Securities Class Actions Filed in Federal Court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Company and certain of its former officers (collectively, the “Defendants”) are defendants in a consolidated class action complaint in the Eastern District of New York under the caption In re The Hain Celestial Group, Inc. Securities Litigation (the “Consolidated Securities Action”). A Corrected Consolidated Amended Complaint was filed in the summer of 2017, which asserted violations of Sections 10(b) and 20(a) of the Securities Exchange Act of 1934 based on allegedly materially false or misleading statements and omissions in public statements, press releases and SEC filings regarding the Company’s business, prospects, financial results and internal controls.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After Defendants’ initial motion to dismiss was granted without prejudice to replead in October 2017, the Co-Lead Plaintiffs filed a Second Amended Consolidated Class Action Complaint on May 6, 2019 (the “Second Amended Complaint”), which made allegations similar to those in the previous complaint. After several years of motion practice and related court orders, on September 29, 2023, the District Court granted Defendants’ Motion to Dismiss the Second Amended Complaint. Co-Lead Plaintiffs filed a notice of appeal on October 26, 2023, appealing the District Court’s decision dismissing the Second Amended Complaint to the Second Circuit, and the appeal was fully briefed as of June 3, 2024. On September 29, 2025, the Second Circuit reversed and remanded the matter for further proceedings. The Company answered the Second Amended Complaint on January 27, 2026. On June 25, 2026, the parties entered into a formal Stipulation and Agreement of Settlement to settle the Consolidated Securities Action for $35,000, funded solely by insurance and no part of the settlement amount will be funded by the Company or any individual defendant. The Stipulation expressly provides that Defendants make no admission of liability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or wrongdoing, and that each Defendant denies all wrongdoing. On July 13, 2026, the Court granted preliminary approval of the settlement and scheduled a Settlement Hearing for October 28, 2026. The settlement remains subject to final Court approval. During fiscal year 2026, the Company recorded an insurance receivable of $35,000 within prepaid expenses and other current assets and a corresponding liability of $35,000 within accrued expenses and other current liabilities in the consolidated balance sheet.</w:t>
      </w:r>
    </w:p>
    <w:p>
      <w:pPr>
        <w:pStyle w:val="TextBody"/>
        <w:bidi w:val="0"/>
        <w:spacing w:before="40" w:after="283"/>
        <w:jc w:val="both"/>
        <w:rPr>
          <w:rFonts w:ascii="Times New Roman" w:hAnsi="Times New Roman"/>
          <w:i/>
          <w:color w:val="000000"/>
          <w:sz w:val="20"/>
        </w:rPr>
      </w:pPr>
      <w:r>
        <w:rPr>
          <w:rFonts w:ascii="Times New Roman" w:hAnsi="Times New Roman"/>
          <w:i/>
          <w:color w:val="000000"/>
          <w:sz w:val="20"/>
        </w:rPr>
        <w:t>Additional Stockholder Class Action and Derivative Complaints Filed in Federal Court</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The former Board of Directors and certain former officers of the Company are defendants in a consolidated action, originally filed in 2017 in the Eastern District of New York, under the caption In re The Hain Celestial Group, Inc. Stockholder Class and Derivative Litigation (the “Consolidated Stockholder Class and Derivative Action”). The plaintiffs allege that the Company’s former directors and certain former officers made materially false and misleading statements in press releases and SEC filings regarding the Company’s business, prospects and financial results and that the Company violated its by-laws and Delaware law by failing to hold its 2016 Annual Stockholders Meeting and claim breach of fiduciary duty, unjust enrichment and corporate waste.</w:t>
      </w:r>
    </w:p>
    <w:p>
      <w:pPr>
        <w:pStyle w:val="TextBody"/>
        <w:bidi w:val="0"/>
        <w:jc w:val="both"/>
        <w:rPr>
          <w:rFonts w:ascii="Times New Roman" w:hAnsi="Times New Roman"/>
          <w:color w:val="000000"/>
          <w:sz w:val="20"/>
        </w:rPr>
      </w:pPr>
      <w:r>
        <w:rPr>
          <w:rFonts w:ascii="Times New Roman" w:hAnsi="Times New Roman"/>
          <w:color w:val="000000"/>
          <w:sz w:val="20"/>
        </w:rPr>
        <w:t>After several years of motion practice and related court orders in the related Consolidated Securities Action, on July 24, 2020, the plaintiffs made a stockholder litigation demand on the Board containing overlapping factual allegations to those set forth in the Consolidated Stockholder Class and Derivative Action. On November 3, 2020, Plaintiffs were informed that the Board had finished investigating and resolved, among other things, that the demand should be rejected. In light of developments in the Consolidated Securities Action referenced above that remanded that case for further proceedings, the parties submitted a joint status report on December 29, 2021 requesting that the District Court continue the temporary stay pending the District Court’s reconsideration of the Defendants’ motion to dismiss the Second Amended Complaint in the Consolidated Securities Action. Following the Second Circuit’s reversal and remand on September 29, 2025, the Parties filed a status update on November 14, 2025 and an initial proposed scheduling order on February 6, 2026. On April 22, 2026, the Court granted Plaintiffs’ motion for an extension of time to file their amended complaint and ordered that Plaintiffs file their Amended Complaint by April 30, 2026. On April 30, 2026, Plaintiffs filed a Motion for Leave to File the Verified Consolidated Second Amended Shareholder Derivative Complaint under seal, together with the Amended Complaint itself. On May 1, 2026, the Court granted the motion to file under seal. Defendants served a motion to dismiss the Amended Complaint on July 17, 2026. Defendants have filed an unopposed motion to stay discovery pending resolution of the motion to dismiss.</w:t>
      </w:r>
    </w:p>
    <w:p>
      <w:pPr>
        <w:pStyle w:val="TextBody"/>
        <w:bidi w:val="0"/>
        <w:spacing w:before="200" w:after="160"/>
        <w:jc w:val="both"/>
        <w:rPr>
          <w:rFonts w:ascii="Times New Roman" w:hAnsi="Times New Roman"/>
          <w:i/>
          <w:color w:val="000000"/>
          <w:sz w:val="20"/>
        </w:rPr>
      </w:pPr>
      <w:r>
        <w:rPr>
          <w:rFonts w:ascii="Times New Roman" w:hAnsi="Times New Roman"/>
          <w:i/>
          <w:color w:val="000000"/>
          <w:sz w:val="20"/>
        </w:rPr>
        <w:t>Baby Food Class Action Litigation</w:t>
      </w:r>
    </w:p>
    <w:p>
      <w:pPr>
        <w:pStyle w:val="TextBody"/>
        <w:bidi w:val="0"/>
        <w:spacing w:lineRule="auto" w:line="360" w:before="40" w:after="160"/>
        <w:jc w:val="both"/>
        <w:rPr>
          <w:rFonts w:ascii="Times New Roman" w:hAnsi="Times New Roman"/>
          <w:sz w:val="13"/>
        </w:rPr>
      </w:pPr>
      <w:r>
        <w:rPr>
          <w:rFonts w:ascii="Times New Roman" w:hAnsi="Times New Roman"/>
          <w:color w:val="000000"/>
          <w:sz w:val="20"/>
        </w:rPr>
        <w:t>Since February 2021, the Company has been named in numerous consumer class actions alleging that the Company’s Earth’s Best</w:t>
      </w:r>
      <w:r>
        <w:rPr>
          <w:rFonts w:ascii="Times New Roman" w:hAnsi="Times New Roman"/>
          <w:color w:val="000000"/>
          <w:sz w:val="13"/>
        </w:rPr>
        <w:t xml:space="preserve">® </w:t>
      </w:r>
      <w:r>
        <w:rPr>
          <w:rFonts w:ascii="Times New Roman" w:hAnsi="Times New Roman"/>
          <w:color w:val="000000"/>
          <w:sz w:val="20"/>
        </w:rPr>
        <w:t>baby food products (the “Products”) contain unsafe and undisclosed levels of various naturally occurring heavy metals, namely lead, arsenic, cadmium and mercury. Those actions were transferred and consolidated as a single lawsuit in the U.S. District Court for the Eastern District of New York captioned In re Hain Celestial Heavy Metals Baby Food Litigation, Case No. 2:21-cv-678 (the “Consolidated Proceeding”). In the Consolidated Proceeding, the plaintiffs generally allege that the Company violated various state consumer protection laws and assert other state and common law warranty and unjust enrichment claims related to the alleged failure to disclose the presence of these metals, arguing that consumers would have either not purchased the Products or would have paid less for them had the Company made adequate disclosures. The Company filed a motion to dismiss the Consolidated Class Action Complaint. Following oral argument on August 1, 2024, the Court issued an order on December 27, 2024 in which it granted the Company’s motion to dismiss with respect to Plaintiffs’ claims arising out of the alleged presence of lead, cadmium, mercury, or other substances, as well as any claims challenging the use of the “USDA Organic” seal on the Products’ labeling, and denied the Company’s motion to dismiss with respect to Plaintiffs’ claims arising out of the alleged presence of arsenic in the Products. The Company filed its answer to the Consolidated Class Action Complaint on January 23, 2025. One consumer class action is pending in New York Supreme Court, Nassau County, which the court has stayed in deference to the Consolidated Proceeding. The Company denies the allegations in these lawsuits and contends that its baby foods are safe and properly labeled.</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claims raised in these lawsuits were brought in the wake of a highly publicized report issued by the U.S. House of Representatives Subcommittee on Economic and Consumer Policy on Oversight and Reform, dated February 4, 2021 (the “House Report”), addressing the presence of heavy metals in baby foods made by certain manufacturers, including the Company. Since the publication of the House Report, the Company has also received information requests with respect to the advertising and quality of its baby foods from certain governmental authorities, as such authorities investigate the claims made in the House Report. The Company is fully cooperating with these requests and has provided documents and other requested information.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The Company has been named in one civil government enforcement action, State of New Mexico ex rel. Balderas v. Nurture, Inc., et al., which was filed by the New Mexico Attorney General against the Company and several other manufacturers based on the alleged presence of heavy metals in their baby food products. The Company and several other manufacturers moved to dismiss the New Mexico Attorney General’s lawsuit, and the Court denied that motion. The Company filed its answer to the </w:t>
      </w:r>
    </w:p>
    <w:p>
      <w:pPr>
        <w:pStyle w:val="TextBody"/>
        <w:bidi w:val="0"/>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New Mexico Attorney General’s amended complaint on April 23, 2022, and discovery is ongoing. The Company denies the New Mexico Attorney General’s allegations and maintains that its baby foods are safe, properly labeled, and compliant with New Mexico law.</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addition to the consumer class actions discussed above, the Company is currently named in numerous lawsuits in state and federal courts alleging some form of personal injury from the ingestion of the Company’s Products, purportedly due to unsafe and undisclosed levels of various naturally occurring heavy metals. These lawsuits generally allege injuries related to neurological development disorders such as autism and attention deficit hyperactivity disorder.</w:t>
      </w:r>
    </w:p>
    <w:p>
      <w:pPr>
        <w:pStyle w:val="TextBody"/>
        <w:bidi w:val="0"/>
        <w:spacing w:before="40" w:after="160"/>
        <w:jc w:val="both"/>
        <w:rPr>
          <w:rFonts w:ascii="Times New Roman" w:hAnsi="Times New Roman"/>
          <w:i/>
          <w:color w:val="000000"/>
          <w:sz w:val="20"/>
        </w:rPr>
      </w:pPr>
      <w:r>
        <w:rPr>
          <w:rFonts w:ascii="Times New Roman" w:hAnsi="Times New Roman"/>
          <w:i/>
          <w:color w:val="000000"/>
          <w:sz w:val="20"/>
        </w:rPr>
        <w:t>Baby Food Multidistrict Litigation</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On January 4, 2024, plaintiffs in federal cases across the country filed a Motion to Transfer Actions for Coordinated or Consolidated Pretrial Proceedings. On April 11, 2024, the United States Judicial Panel on Multidistrict Litigation granted plaintiffs’ motion and transferred the cases to the Northern District of California for coordinated or consolidated pretrial proceedings. On April 15, 2024, the court issued an order staying all outstanding discovery proceedings and pending motions and vacating all previously scheduled hearing dates. There are approximately 200 federal cases filed against the Company pending in the multi-district litigation (“MDL”). Plaintiffs filed their Master Complaint on July 15, 2024. On December 18, 2024, Defendants filed motions to dismiss the Master Complaint, which the Court granted in part and denied in part. The MDL first proceeded with general causation discovery. Expert discovery has closed and the parties’ Rule 702 motions have been fully briefed. The Court held Rule 702 hearings during the week of December 8, 2025 and on February 27, 2026, the Court issued an order excluding Plaintiffs’ general causation experts. On May 1, 2026, Defendants filed a motion for summary judgment. On August 13, 2026, the Court held argument on Defendants’ Motion for Summary Judgment. </w:t>
      </w:r>
    </w:p>
    <w:p>
      <w:pPr>
        <w:pStyle w:val="TextBody"/>
        <w:bidi w:val="0"/>
        <w:spacing w:before="40" w:after="160"/>
        <w:jc w:val="both"/>
        <w:rPr>
          <w:rFonts w:ascii="Times New Roman" w:hAnsi="Times New Roman"/>
          <w:i/>
          <w:color w:val="000000"/>
          <w:sz w:val="20"/>
        </w:rPr>
      </w:pPr>
      <w:r>
        <w:rPr>
          <w:rFonts w:ascii="Times New Roman" w:hAnsi="Times New Roman"/>
          <w:i/>
          <w:color w:val="000000"/>
          <w:sz w:val="20"/>
        </w:rPr>
        <w:t>Baby Food California State Court Cases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There are currently thirteen personal injury cases against the Company pending in California State Superior Courts relating to the same allegations regarding trace levels of heavy metals in the Products. These cases are now (or will be) included in Judicial Council Coordinated Proceedings (“JCCP”). In June 2024, the cases were assigned a trial coordination judge. All but two of the cases are currently stayed.</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In Landon R. v. The Hain Celestial Group, Inc., et al., No. 23STCV24844, the Court granted defendants’ Motion to Exclude Plaintiff’s Exposure Expert and Defendants’ Motion for Summary Judgment on December 3, 2025. The Court entered judgment in defendants’ favor on January 2, 2026. Plaintiff filed a Notice of Appeal on March 2, 2026.</w:t>
      </w:r>
    </w:p>
    <w:p>
      <w:pPr>
        <w:pStyle w:val="TextBody"/>
        <w:bidi w:val="0"/>
        <w:jc w:val="left"/>
        <w:rPr>
          <w:rFonts w:ascii="Times New Roman" w:hAnsi="Times New Roman"/>
          <w:color w:val="000000"/>
          <w:sz w:val="20"/>
        </w:rPr>
      </w:pPr>
      <w:r>
        <w:rPr>
          <w:rFonts w:ascii="Times New Roman" w:hAnsi="Times New Roman"/>
          <w:color w:val="000000"/>
          <w:sz w:val="20"/>
        </w:rPr>
        <w:t>On September 30, 2025, the Court lifted the discovery and pleading stay in two additional cases: Kaleb R. v. Hain Celestial Group, Inc. et al. (No. 23STCV30542) and Samuel R. v. Hain Celestial Group, Inc. et al. (No. 23CV057126). Discovery is ongoing in both cases.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Palmquist v. The Hain Celestial Group</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 xml:space="preserve">During a jury trial in February 2023 in the baby food-related matter Palmquist v. The Hain Celestial Group, Inc., the court granted the Company’s motion for a directed verdict, finding no liability for the Company. The Court entered Final Judgment in the Company’s favor on March 3, 2023.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Plaintiffs appealed in the Fifth Circuit, and on May 28, 2024, the Fifth Circuit reversed the district court’s order denying Plaintiff’s motion to remand the case and vacated the final judgement of the district court. The Company filed a Petition for En Banc Reconsideration, which the Fifth Circuit denied.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Company successfully petitioned the United States Supreme Court for a writ of certiorari, and the Court heard oral argument on November 4, 2025. On February 24, 2026, the Court issued an opinion affirming the Fifth Circuit’s decision to vacate the judgement in favor of Hain and remand the proceedings to state court to be re-tried.</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The case is now pending in the District Court of Brazoria County, Texas. Discovery is ongoing. The case has been set for trial starting on March 29, 2027.</w:t>
      </w:r>
    </w:p>
    <w:p>
      <w:pPr>
        <w:pStyle w:val="TextBody"/>
        <w:bidi w:val="0"/>
        <w:spacing w:before="40" w:after="160"/>
        <w:jc w:val="both"/>
        <w:rPr>
          <w:rFonts w:ascii="Times New Roman" w:hAnsi="Times New Roman"/>
          <w:i/>
          <w:color w:val="000000"/>
          <w:sz w:val="20"/>
        </w:rPr>
      </w:pPr>
      <w:r>
        <w:rPr>
          <w:rFonts w:ascii="Times New Roman" w:hAnsi="Times New Roman"/>
          <w:i/>
          <w:color w:val="000000"/>
          <w:sz w:val="20"/>
        </w:rPr>
        <w:t>Watkins v. Plum PBC, et al.</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On August 13, 2026, the MDL Court heard argument on a Motion to Remand Watkins v. Plum PBC et al. from the MDL to Louisiana state court. On August 19, 2026, the MDL Court granted Plaintiffs’ motion and remanded the case to the Civil District Court for the Parish of Orleans. </w:t>
      </w:r>
    </w:p>
    <w:p>
      <w:pPr>
        <w:pStyle w:val="TextBody"/>
        <w:bidi w:val="0"/>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160"/>
        <w:jc w:val="both"/>
        <w:rPr>
          <w:rFonts w:ascii="Times New Roman" w:hAnsi="Times New Roman"/>
          <w:i/>
          <w:color w:val="000000"/>
          <w:sz w:val="20"/>
        </w:rPr>
      </w:pPr>
      <w:r>
        <w:rPr>
          <w:rFonts w:ascii="Times New Roman" w:hAnsi="Times New Roman"/>
          <w:i/>
          <w:color w:val="000000"/>
          <w:sz w:val="20"/>
        </w:rPr>
        <w:t>Baby Food Florida State Court Cases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There are currently seven multi-plaintiff personal injury cases against the Company pending in Florida State Courts relating to the same allegations regarding trace levels of heavy metals in the Products.</w:t>
      </w:r>
    </w:p>
    <w:p>
      <w:pPr>
        <w:pStyle w:val="TextBody"/>
        <w:bidi w:val="0"/>
        <w:jc w:val="both"/>
        <w:rPr>
          <w:rFonts w:ascii="Times New Roman" w:hAnsi="Times New Roman"/>
          <w:color w:val="000000"/>
          <w:sz w:val="20"/>
        </w:rPr>
      </w:pPr>
      <w:r>
        <w:rPr>
          <w:rFonts w:ascii="Times New Roman" w:hAnsi="Times New Roman"/>
          <w:color w:val="000000"/>
          <w:sz w:val="20"/>
        </w:rPr>
        <w:t>With respect to all of the above-described baby food matters, the Company denies that its Products led to any of the alleged injuries and will defend these cases vigorously. That said, as is common in circumstances of this nature, additional lawsuits may be filed against the Company in the future, asserting similar or different legal theories and seeking similar or different types of damages and relief. Such lawsuits may be resolved in a manner adverse to us, and we may incur substantial costs or damages not covered by insurance, which could have a material adverse effect on our financial condition and business.</w:t>
      </w:r>
    </w:p>
    <w:p>
      <w:pPr>
        <w:pStyle w:val="TextBody"/>
        <w:bidi w:val="0"/>
        <w:spacing w:before="200" w:after="160"/>
        <w:jc w:val="left"/>
        <w:rPr>
          <w:rFonts w:ascii="Times New Roman" w:hAnsi="Times New Roman"/>
          <w:i/>
          <w:color w:val="000000"/>
          <w:sz w:val="20"/>
        </w:rPr>
      </w:pPr>
      <w:r>
        <w:rPr>
          <w:rFonts w:ascii="Times New Roman" w:hAnsi="Times New Roman"/>
          <w:i/>
          <w:color w:val="000000"/>
          <w:sz w:val="20"/>
        </w:rPr>
        <w:t>Other</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In addition to the matters described above, the Company is and may be a defendant in lawsuits from time to time in the normal course of business.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With respect to all litigation and related matters, the Company records a liability when the Company believes it is probable that a liability has been incurred and the amount can be reasonably estimated. As of the end of the period covered by this report, the Company has not recorded a liability for any of the matters disclosed in this note, except for the above-noted liability and offsetting insurance receivable in connection with the proposed settlement of the Consolidated Securities Action, which is to be funded solely by insurance. It is possible that some matters could require the Company to pay damages, incur other costs or establish accruals in amounts that could not be reasonably estimated as of the end of the period covered by this report.</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18.</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RESTRUCTURING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first quarter of fiscal year 2024, the Company began a multi</w:t>
        <w:noBreakHyphen/>
        <w:t>year restructuring program (the “Restructuring Program”) and incurred charges related to contract terminations, asset write</w:t>
        <w:noBreakHyphen/>
        <w:t>downs, employee</w:t>
        <w:noBreakHyphen/>
        <w:t>related costs, and other transformation-related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fiscal year ended June 30, 2026, expenses associated with the Restructuring Program in the amount of $22,039, $5,224, and $10, respectively, were recorded in productivity and transformation costs, cost of sales, and long-lived asset and intangibles impairment, respectively, on the consolidated statements of operations. For the fiscal year ended June 30, 2025, expenses associated with the Restructuring Program in the amount of $21,530, $2,685 and $1,599 were recorded in productivity and transformation costs, long-lived asset and intangibles impairment, and cost of sales, respectively, on the consolidated statements of operations. The table below sets forth expenses associated with the Restructuring Program for the fiscal years ended June 30, 2026 and 2025 by reportable segment and Corporate and Other.</w:t>
      </w:r>
    </w:p>
    <w:p>
      <w:pPr>
        <w:pStyle w:val="TextBody"/>
        <w:bidi w:val="0"/>
        <w:spacing w:before="200" w:after="283"/>
        <w:jc w:val="both"/>
        <w:rPr/>
      </w:pPr>
      <w:r>
        <w:rPr/>
        <w:t> </w:t>
      </w:r>
    </w:p>
    <w:tbl>
      <w:tblPr>
        <w:tblW w:w="4192" w:type="dxa"/>
        <w:jc w:val="left"/>
        <w:tblInd w:w="0" w:type="dxa"/>
        <w:tblLayout w:type="fixed"/>
        <w:tblCellMar>
          <w:top w:w="28" w:type="dxa"/>
          <w:left w:w="28" w:type="dxa"/>
          <w:bottom w:w="28" w:type="dxa"/>
          <w:right w:w="28" w:type="dxa"/>
        </w:tblCellMar>
      </w:tblPr>
      <w:tblGrid>
        <w:gridCol w:w="1771"/>
        <w:gridCol w:w="146"/>
        <w:gridCol w:w="213"/>
        <w:gridCol w:w="682"/>
        <w:gridCol w:w="147"/>
        <w:gridCol w:w="147"/>
        <w:gridCol w:w="213"/>
        <w:gridCol w:w="682"/>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27,273</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displays the activities and liability balances relating to the Restructuring Program for the fiscal years ended June 30, 2026 and 2025. The Company expects to pay the remaining accrued restructuring costs during the next 12 months.</w:t>
      </w:r>
    </w:p>
    <w:tbl>
      <w:tblPr>
        <w:tblW w:w="10205" w:type="dxa"/>
        <w:jc w:val="left"/>
        <w:tblInd w:w="0" w:type="dxa"/>
        <w:tblLayout w:type="fixed"/>
        <w:tblCellMar>
          <w:top w:w="28" w:type="dxa"/>
          <w:left w:w="28" w:type="dxa"/>
          <w:bottom w:w="28" w:type="dxa"/>
          <w:right w:w="28" w:type="dxa"/>
        </w:tblCellMar>
      </w:tblPr>
      <w:tblGrid>
        <w:gridCol w:w="2502"/>
        <w:gridCol w:w="146"/>
        <w:gridCol w:w="345"/>
        <w:gridCol w:w="933"/>
        <w:gridCol w:w="146"/>
        <w:gridCol w:w="146"/>
        <w:gridCol w:w="211"/>
        <w:gridCol w:w="676"/>
        <w:gridCol w:w="146"/>
        <w:gridCol w:w="146"/>
        <w:gridCol w:w="227"/>
        <w:gridCol w:w="795"/>
        <w:gridCol w:w="166"/>
        <w:gridCol w:w="146"/>
        <w:gridCol w:w="423"/>
        <w:gridCol w:w="1265"/>
        <w:gridCol w:w="166"/>
        <w:gridCol w:w="146"/>
        <w:gridCol w:w="345"/>
        <w:gridCol w:w="933"/>
        <w:gridCol w:w="196"/>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Non-cash settlements/ Adjustments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Employee-related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Asset write-downs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transformation-related expenses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 Paid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360" w:before="0" w:after="283"/>
              <w:jc w:val="center"/>
              <w:rPr>
                <w:rFonts w:ascii="Times New Roman" w:hAnsi="Times New Roman"/>
                <w:sz w:val="16"/>
              </w:rPr>
            </w:pPr>
            <w:r>
              <w:rPr>
                <w:rFonts w:ascii="Times New Roman" w:hAnsi="Times New Roman"/>
                <w:b/>
                <w:color w:val="000000"/>
                <w:sz w:val="16"/>
              </w:rPr>
              <w:t>Non-cash settlements/ Adjustments</w:t>
            </w:r>
            <w:r>
              <w:rPr>
                <w:rFonts w:ascii="Times New Roman" w:hAnsi="Times New Roman"/>
                <w:b/>
                <w:color w:val="000000"/>
                <w:sz w:val="11"/>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 June 30,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termination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Asset write-downs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Other transformation-related expenses</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lineRule="auto" w:line="360" w:before="200" w:after="283"/>
        <w:jc w:val="left"/>
        <w:rPr>
          <w:rFonts w:ascii="Times New Roman" w:hAnsi="Times New Roman"/>
          <w:sz w:val="13"/>
        </w:rPr>
      </w:pPr>
      <w:r>
        <w:rPr>
          <w:rFonts w:ascii="Times New Roman" w:hAnsi="Times New Roman"/>
          <w:i/>
          <w:color w:val="000000"/>
          <w:sz w:val="13"/>
        </w:rPr>
        <w:t>1</w:t>
      </w:r>
      <w:r>
        <w:rPr>
          <w:rFonts w:ascii="Times New Roman" w:hAnsi="Times New Roman"/>
          <w:i/>
          <w:color w:val="000000"/>
          <w:sz w:val="20"/>
        </w:rPr>
        <w:t>Employee-related costs include $833</w:t>
      </w:r>
      <w:r>
        <w:rPr>
          <w:rFonts w:ascii="Times New Roman" w:hAnsi="Times New Roman"/>
          <w:color w:val="000000"/>
          <w:sz w:val="13"/>
        </w:rPr>
        <w:t xml:space="preserve"> </w:t>
      </w:r>
      <w:r>
        <w:rPr>
          <w:rFonts w:ascii="Times New Roman" w:hAnsi="Times New Roman"/>
          <w:i/>
          <w:color w:val="000000"/>
          <w:sz w:val="20"/>
        </w:rPr>
        <w:t>of severance related to executive officer succession.</w:t>
        <w:br/>
      </w:r>
      <w:r>
        <w:rPr>
          <w:rFonts w:ascii="Times New Roman" w:hAnsi="Times New Roman"/>
          <w:i/>
          <w:color w:val="000000"/>
          <w:sz w:val="13"/>
        </w:rPr>
        <w:t>2</w:t>
      </w:r>
      <w:r>
        <w:rPr>
          <w:rFonts w:ascii="Times New Roman" w:hAnsi="Times New Roman"/>
          <w:i/>
          <w:color w:val="000000"/>
          <w:sz w:val="20"/>
        </w:rPr>
        <w:t>Represents non-cash asset write-downs including asset impairment and accelerated depreciation.</w:t>
        <w:br/>
      </w:r>
      <w:r>
        <w:rPr>
          <w:rFonts w:ascii="Times New Roman" w:hAnsi="Times New Roman"/>
          <w:i/>
          <w:color w:val="000000"/>
          <w:sz w:val="13"/>
        </w:rPr>
        <w:t>3</w:t>
      </w:r>
      <w:r>
        <w:rPr>
          <w:rFonts w:ascii="Times New Roman" w:hAnsi="Times New Roman"/>
          <w:i/>
          <w:color w:val="000000"/>
          <w:sz w:val="20"/>
        </w:rPr>
        <w:t>Other transformation-related expenses primarily include consultancy charges related to reorganization of global functions and related personnel resource requirements, and rationalizing sourcing and supply chain processes.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Cumulative pretax charges associated with the Restructuring Program are expected to be $135,000 - $145,000 which represents an increase of $20,000 from the previously reported range, primarily due to incremental restructuring actions expected to be incurred in connection with the International Business Transaction. The Restructuring Program is now expected to conclude by the end of fiscal year 2028. See Note 1, </w:t>
      </w:r>
      <w:r>
        <w:rPr>
          <w:rFonts w:ascii="Times New Roman" w:hAnsi="Times New Roman"/>
          <w:i/>
          <w:color w:val="000000"/>
          <w:sz w:val="20"/>
        </w:rPr>
        <w:t>Description of the Business and Basis of Presentation</w:t>
      </w:r>
      <w:r>
        <w:rPr>
          <w:rFonts w:ascii="Times New Roman" w:hAnsi="Times New Roman"/>
          <w:color w:val="000000"/>
          <w:sz w:val="20"/>
        </w:rPr>
        <w:t>, under the heading “Strategic Review—International Business Transaction”.</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19.</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 xml:space="preserve">DEFINED CONTRIBUTION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a 401(k) Employee Retirement Plan (the “Plan”) to provide retirement benefits for eligible employees. All full-time employees of the Company and its wholly-owned domestic subsidiaries are eligible to participate upon completion of 30 days of service. On an annual basis, the Company may, in its sole discretion, make certain matching contributions. For the fiscal years ended June 30, 2026 and 2025, the Company made contributions to the Plan of $2,442 and $2,441, respectively, and recorded retirement plan expense in the amount of $1,081 and $2,547, respectively. In addition, while certain of the Company’s international subsidiaries maintain separate defined contribution plans for their employees, except for the U.K., the amounts are not significant to the Company’s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U.K. subsidiaries offer an auto-enrollment defined contribution plan to all employees. Employees must be aged 22 or over but under the State Pension age and have earned over £10. Employees outside of these criteria have the option to opt-in. Employees must contribute a minimum percentage to the plan and the U.K. subsidiaries make matching contributions. For the fiscal years ended June 30, 2026 and 2025, there were contributions and retirement plan expense recorded in the amount of $3,023 and $2,715, respectively.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President and Chief Executive Officer is the CODM of the Company. The Company’s measure of segment profitability is Adjusted EBITDA of each reportable segment and also uses net sales in order to analyze segment results, trends and allocate resources. On a monthly basis, the CODM reviews how actual results compare to forecasts and prior periods when making decisions regarding strategic initiatives and capital investments to segments.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Segment Adjusted EBITDA excludes: net interest expense, income taxes, depreciation and amortization, equity in net loss of equity-method investees, stock-based compensation, net, unrealized currency losses, certain litigation and related costs, plant closure related costs, net, productivity and transformation costs, warehouse and manufacturing consolidation and other costs, net, costs associated with acquisitions, divestitures and other transactions, (gain) loss on sale of assets, impairment of goodwill, long-lived asset and intangibles impairments and other adjustments. In addition, Segment Adjusted EBITDA does not include Corporate and Other expenses related to the Company’s centralized administrative functions, which do not specifically relate to a reportable segment. Such Corporate and Other expenses are comprised mainly of compensation and related expenses of certain of the Company’s senior executive officers and other employees who perform duties related to the entire enterprise, litigation expense and expenses for certain professional fees, facilities, and other items which benefit the Company as a whole.</w:t>
      </w:r>
    </w:p>
    <w:p>
      <w:pPr>
        <w:pStyle w:val="TextBody"/>
        <w:bidi w:val="0"/>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set forth financial information about each of the Company’s reportable segment’s revenue, significant segment expenses and measure of segment profit or loss for the fiscal years ended June 30, 2026 and 2025. Information about total assets by segment is not disclosed because such information is not reported to or used by the Company’s CODM for purposes of assessing segment performance or allocating resources. Transactions between reportable segments were insignificant for all periods presented.</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888,626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668,376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671,154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Cost of sales, adjusted to exclude 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(693,951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(1,223,957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Marketing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Other selling, general and administrative expenses, adjusted to exclude restructuring activities and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(102,867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Depreciation and amortization and 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Segment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Reportable Segments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(44,259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net loss of equity-method investees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(15,297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currency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Certain litigation expenses, net</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Proceeds from insurance claim</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Productivity and transformation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closure related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Warehouse/manufacturing consolidation and other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succession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Acquisitions, divestitures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lineRule="auto" w:line="360" w:before="0" w:after="283"/>
              <w:ind w:left="0" w:right="0" w:firstLine="200"/>
              <w:jc w:val="left"/>
              <w:rPr>
                <w:rFonts w:ascii="Times New Roman" w:hAnsi="Times New Roman"/>
                <w:sz w:val="20"/>
              </w:rPr>
            </w:pPr>
            <w:r>
              <w:rPr>
                <w:rFonts w:ascii="Times New Roman" w:hAnsi="Times New Roman"/>
                <w:color w:val="000000"/>
                <w:sz w:val="20"/>
              </w:rPr>
              <w:t>Transaction and integration costs, net</w:t>
            </w:r>
            <w:r>
              <w:rPr>
                <w:rFonts w:ascii="Times New Roman" w:hAnsi="Times New Roman"/>
                <w:color w:val="000000"/>
                <w:sz w:val="13"/>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Long-lived asset and intangibles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(304,923</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(530,841</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lineRule="auto" w:line="360"/>
        <w:jc w:val="both"/>
        <w:rPr>
          <w:rFonts w:ascii="Times New Roman" w:hAnsi="Times New Roman"/>
          <w:sz w:val="13"/>
        </w:rPr>
      </w:pPr>
      <w:r>
        <w:rPr>
          <w:rFonts w:ascii="Times New Roman" w:hAnsi="Times New Roman"/>
          <w:i/>
          <w:color w:val="000000"/>
          <w:sz w:val="13"/>
        </w:rPr>
        <w:t xml:space="preserve">(a) </w:t>
      </w:r>
      <w:r>
        <w:rPr>
          <w:rFonts w:ascii="Times New Roman" w:hAnsi="Times New Roman"/>
          <w:i/>
          <w:color w:val="000000"/>
          <w:sz w:val="20"/>
        </w:rPr>
        <w:t>Expenses and items relating to securities class action, baby food litigation and SEC investigation.</w:t>
        <w:br/>
      </w:r>
      <w:r>
        <w:rPr>
          <w:rFonts w:ascii="Times New Roman" w:hAnsi="Times New Roman"/>
          <w:i/>
          <w:color w:val="000000"/>
          <w:sz w:val="13"/>
        </w:rPr>
        <w:t xml:space="preserve">(b) </w:t>
      </w:r>
      <w:r>
        <w:rPr>
          <w:rFonts w:ascii="Times New Roman" w:hAnsi="Times New Roman"/>
          <w:i/>
          <w:color w:val="000000"/>
          <w:sz w:val="20"/>
        </w:rPr>
        <w:t>Represents receipt of proceeds under the Company’s R&amp;W insurance related to one of its prior acquisitions, which was collected on January 2, 2026.</w:t>
      </w:r>
    </w:p>
    <w:p>
      <w:pPr>
        <w:pStyle w:val="TextBody"/>
        <w:bidi w:val="0"/>
        <w:spacing w:lineRule="auto" w:line="360"/>
        <w:jc w:val="both"/>
        <w:rPr>
          <w:rFonts w:ascii="Times New Roman" w:hAnsi="Times New Roman"/>
          <w:sz w:val="13"/>
        </w:rPr>
      </w:pPr>
      <w:r>
        <w:rPr>
          <w:rFonts w:ascii="Times New Roman" w:hAnsi="Times New Roman"/>
          <w:i/>
          <w:color w:val="000000"/>
          <w:sz w:val="13"/>
        </w:rPr>
        <w:t xml:space="preserve">(c) </w:t>
      </w:r>
      <w:r>
        <w:rPr>
          <w:rFonts w:ascii="Times New Roman" w:hAnsi="Times New Roman"/>
          <w:i/>
          <w:color w:val="000000"/>
          <w:sz w:val="20"/>
        </w:rPr>
        <w:t>Expenses and items relating to strategic review.</w:t>
      </w:r>
    </w:p>
    <w:p>
      <w:pPr>
        <w:pStyle w:val="TextBody"/>
        <w:bidi w:val="0"/>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net sales by product category are as follows:</w:t>
      </w:r>
    </w:p>
    <w:tbl>
      <w:tblPr>
        <w:tblW w:w="4429" w:type="dxa"/>
        <w:jc w:val="left"/>
        <w:tblInd w:w="0" w:type="dxa"/>
        <w:tblLayout w:type="fixed"/>
        <w:tblCellMar>
          <w:top w:w="28" w:type="dxa"/>
          <w:left w:w="28" w:type="dxa"/>
          <w:bottom w:w="28" w:type="dxa"/>
          <w:right w:w="28" w:type="dxa"/>
        </w:tblCellMar>
      </w:tblPr>
      <w:tblGrid>
        <w:gridCol w:w="1516"/>
        <w:gridCol w:w="146"/>
        <w:gridCol w:w="211"/>
        <w:gridCol w:w="931"/>
        <w:gridCol w:w="146"/>
        <w:gridCol w:w="146"/>
        <w:gridCol w:w="211"/>
        <w:gridCol w:w="93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Meal Preparation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Beverages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Baby &amp; Kids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Snacks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Personal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net sales by geographic region, which are generally based on the location of the Company’s subsidiary, are as follows:</w:t>
      </w:r>
    </w:p>
    <w:tbl>
      <w:tblPr>
        <w:tblW w:w="4399" w:type="dxa"/>
        <w:jc w:val="left"/>
        <w:tblInd w:w="0" w:type="dxa"/>
        <w:tblLayout w:type="fixed"/>
        <w:tblCellMar>
          <w:top w:w="28" w:type="dxa"/>
          <w:left w:w="28" w:type="dxa"/>
          <w:bottom w:w="28" w:type="dxa"/>
          <w:right w:w="28" w:type="dxa"/>
        </w:tblCellMar>
      </w:tblPr>
      <w:tblGrid>
        <w:gridCol w:w="1486"/>
        <w:gridCol w:w="146"/>
        <w:gridCol w:w="211"/>
        <w:gridCol w:w="931"/>
        <w:gridCol w:w="146"/>
        <w:gridCol w:w="146"/>
        <w:gridCol w:w="211"/>
        <w:gridCol w:w="93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1,559,780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long-lived assets, which primarily represent property, plant and equipment, net and operating lease right-of-use assets, net by geographic region are as follows:</w:t>
      </w:r>
    </w:p>
    <w:tbl>
      <w:tblPr>
        <w:tblW w:w="4099" w:type="dxa"/>
        <w:jc w:val="left"/>
        <w:tblInd w:w="0" w:type="dxa"/>
        <w:tblLayout w:type="fixed"/>
        <w:tblCellMar>
          <w:top w:w="28" w:type="dxa"/>
          <w:left w:w="28" w:type="dxa"/>
          <w:bottom w:w="28" w:type="dxa"/>
          <w:right w:w="28" w:type="dxa"/>
        </w:tblCellMar>
      </w:tblPr>
      <w:tblGrid>
        <w:gridCol w:w="1486"/>
        <w:gridCol w:w="146"/>
        <w:gridCol w:w="211"/>
        <w:gridCol w:w="781"/>
        <w:gridCol w:w="146"/>
        <w:gridCol w:w="146"/>
        <w:gridCol w:w="211"/>
        <w:gridCol w:w="78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Western Europe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21.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SUBSEQUENT EVENT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Company’s strategic review, on September 12, 2026, the Company and the Purchasers entered into the Purchase Agreement relating to the International Business Transaction. The aggregate net cash proceeds to be realized from the International Business Transaction are expected to be between £225,100 and £228,800, or between approximately $305,000 and $310,000. Upon closing of the International Business Transaction, the Company would use the net proceeds to reduce the Company’s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Consummation of the International Business Transaction is subject to regulatory approvals and the Company and its lenders entering into an amendment of the Company’s Credit Agreement, which currently has a maturity date of December 22, 2026, to extend such maturity date by not less than nine months. If the Credit Agreement amendment is not entered into by October 12, 2026, the Purchasers may terminate the Purchase Agreement.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See Note 1, </w:t>
      </w:r>
      <w:r>
        <w:rPr>
          <w:rFonts w:ascii="Times New Roman" w:hAnsi="Times New Roman"/>
          <w:i/>
          <w:color w:val="000000"/>
          <w:sz w:val="20"/>
        </w:rPr>
        <w:t>Description of the Business and Basis of Presentation</w:t>
      </w:r>
      <w:r>
        <w:rPr>
          <w:rFonts w:ascii="Times New Roman" w:hAnsi="Times New Roman"/>
          <w:color w:val="000000"/>
          <w:sz w:val="20"/>
        </w:rPr>
        <w:t xml:space="preserve">, under the heading “Strategic Review—International Business Transaction” and Note 18, </w:t>
      </w:r>
      <w:r>
        <w:rPr>
          <w:rFonts w:ascii="Times New Roman" w:hAnsi="Times New Roman"/>
          <w:i/>
          <w:color w:val="000000"/>
          <w:sz w:val="20"/>
        </w:rPr>
        <w:t>Restructuring Program</w:t>
      </w:r>
      <w:r>
        <w:rPr>
          <w:rFonts w:ascii="Times New Roman" w:hAnsi="Times New Roman"/>
          <w:color w:val="000000"/>
          <w:sz w:val="20"/>
        </w:rPr>
        <w:t>, in the Notes to the Consolidated Financial Statements included in Item 8 of this Form 10-K.</w:t>
      </w:r>
    </w:p>
    <w:p>
      <w:pPr>
        <w:pStyle w:val="TextBody"/>
        <w:bidi w:val="0"/>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24" w:name="item_9_changes_in_and_disagreements"/>
      <w:bookmarkEnd w:id="24"/>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both"/>
        <w:rPr>
          <w:rFonts w:ascii="Times New Roman" w:hAnsi="Times New Roman"/>
          <w:b/>
          <w:color w:val="000000"/>
          <w:sz w:val="20"/>
        </w:rPr>
      </w:pPr>
      <w:bookmarkStart w:id="25" w:name="item_9a_controls_and_procedures"/>
      <w:bookmarkEnd w:id="25"/>
      <w:r>
        <w:rPr>
          <w:rFonts w:ascii="Times New Roman" w:hAnsi="Times New Roman"/>
          <w:b/>
          <w:color w:val="000000"/>
          <w:sz w:val="20"/>
        </w:rPr>
        <w:t>Item 9A.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Chief Executive Officer (“CEO”) and Chief Financial Officer (“CFO”), with the assistance of other members of management, have performed an evaluation of the effectiveness of our disclosure controls and procedures (as defined in Rules 13a-15(e) and 15d-15(e) under the Exchange Act) as of June 30, 2026. Based on this evaluation, our CEO and CFO have concluded that as of June 30, 2026, the Company’s disclosure controls and procedures were effective in ensuring that information required to be disclosed in reports that we file or submit under the Exchange Act is (1) recorded, processed, summarized, and reported within the time periods specified in SEC rules and forms, and (2) accumulated and communicated to management, including the chief executive officer and chief financial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Management’s Report on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management is responsible for establishing and maintaining adequate internal control over financial reporting, as such term is defined in Rule 13a-15(f)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assets of the Company that could have a material effect on the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management, including the CEO and CFO, we conducted an evaluation of the effectiveness of internal control over financial reporting as of June 30, 2026. In making this assessment, management used the criteria established in Internal Control-Integrated Framework (2013) issued by the Committee of Sponsoring Organizations of the Treadway Commission (“COSO”). Based on this assessment, management, including the Company’s CEO and CFO, has concluded that the Company’s internal control over financial reporting was effective as of June 30,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effectiveness of the Company’s internal control over financial reporting as of June 30, 2026 has been audited by Ernst &amp; Young LLP, an independent registered public accounting firm, as stated in their report which appears herein.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Remediation of Previously Identified Material Weakness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previously reported in Item 9A of our Annual Report on Form 10-K for the fiscal year ended June 30, 2025, and subsequent Quarterly Reports on Form 10-Q during the fiscal year ended June 30, 2026, we disclosed a material weakness related to our controls to review on a timely basis and in sufficient detail the projected financial information and certain key assumptions and underlying calculations used in goodwill and indefinite-lived intangible asset quantitative impairment tests.</w:t>
      </w:r>
    </w:p>
    <w:p>
      <w:pPr>
        <w:pStyle w:val="TextBody"/>
        <w:bidi w:val="0"/>
        <w:jc w:val="both"/>
        <w:rPr>
          <w:rFonts w:ascii="Times New Roman" w:hAnsi="Times New Roman"/>
          <w:color w:val="000000"/>
          <w:sz w:val="20"/>
        </w:rPr>
      </w:pPr>
      <w:r>
        <w:rPr>
          <w:rFonts w:ascii="Times New Roman" w:hAnsi="Times New Roman"/>
          <w:color w:val="000000"/>
          <w:sz w:val="20"/>
        </w:rPr>
        <w:br/>
        <w:t>During the fiscal year ended June 30, 2026, we implemented and tested remediation measures designed to address the above noted control deficiencies. These measures included enhancing the design of existing controls and implementing additional procedures to independently corroborate in a timely manner the assumptions and inputs used in its projected financial information. Management completed its testing of the design and operating effectiveness of these controls during fiscal year 2026. Based on the successful implementation and testing of these remediation efforts, management concluded that the previously identified material weakness was remediated as of June 30, 2026.</w:t>
      </w:r>
    </w:p>
    <w:p>
      <w:pPr>
        <w:pStyle w:val="TextBody"/>
        <w:bidi w:val="0"/>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than the actions taken to remediate material weakness in internal control over financial reporting, there were no changes in internal controls over financial reporting that occurred during the quarter ended June 30, 2026 that have materially affected, or are reasonably likely to materially affect,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Stockholders and the Board of Directors of The Hain Celestial Group,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We have audited The Hain Celestial Group, Inc. and subsidiaries’ internal control over financial reporting as of June 30, 2026, based on criteria established in Internal Control—Integrated Framework issued by the Committee of Sponsoring Organizations of the Treadway Commission (2013 framework) (the COSO criteria). In our opinion, The Hain Celestial Group, Inc. and subsidiaries (the Company) has maintained, in all material respects, effective internal control over financial reporting as of June 30, 2026, based on the COSO criteria.</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 also have audited, in accordance with the standards of the Public Company Accounting Oversight Board (United States) (PCAOB), the consolidated balance sheets of the Company as of June 30, 2026 and 2025, the related consolidated statements of operations, comprehensive loss, stockholders’ equity and cash flows for each of the two years in the period ended June 30, 2026, and the related notes and financial statement schedule listed in the Index at Item 15(a) and our report dated September 14, 2026 expressed an unqualified opinion thereon.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Ernst &amp; Young LLP</w:t>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Jericho, New York</w:t>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September 14, 2026</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26" w:name="item_9b_other_information"/>
      <w:bookmarkEnd w:id="26"/>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Rule 10b5-1 Trading Arrangements and Non-Rule 10b5-1 Trading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June 30, 2026, none of the Company’s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pStyle w:val="TextBody"/>
        <w:bidi w:val="0"/>
        <w:spacing w:before="200" w:after="283"/>
        <w:jc w:val="left"/>
        <w:rPr>
          <w:rFonts w:ascii="Times New Roman" w:hAnsi="Times New Roman"/>
          <w:b/>
          <w:color w:val="000000"/>
          <w:sz w:val="20"/>
        </w:rPr>
      </w:pPr>
      <w:bookmarkStart w:id="27" w:name="item_9c_disclosure_regarding_foreign"/>
      <w:bookmarkEnd w:id="27"/>
      <w:r>
        <w:rPr>
          <w:rFonts w:ascii="Times New Roman" w:hAnsi="Times New Roman"/>
          <w:b/>
          <w:color w:val="000000"/>
          <w:sz w:val="20"/>
        </w:rPr>
        <w:t>Item 9C. Disclosure Regarding Foreign Jurisdictions that Prevent Inspections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8" w:name="part_iii"/>
      <w:bookmarkEnd w:id="28"/>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00" w:after="283"/>
        <w:jc w:val="both"/>
        <w:rPr>
          <w:rFonts w:ascii="Times New Roman" w:hAnsi="Times New Roman"/>
          <w:b/>
          <w:color w:val="000000"/>
          <w:sz w:val="20"/>
        </w:rPr>
      </w:pPr>
      <w:bookmarkStart w:id="29" w:name="item_10_directors_executive_officers"/>
      <w:bookmarkEnd w:id="29"/>
      <w:r>
        <w:rPr>
          <w:rFonts w:ascii="Times New Roman" w:hAnsi="Times New Roman"/>
          <w:b/>
          <w:color w:val="000000"/>
          <w:sz w:val="20"/>
        </w:rPr>
        <w:t>Item 10. Directors, Executive Officers 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Company’s Proxy Statement for the 2026 Annual Meeting of Stockholders of the Company (the “2026 Proxy Statement”) or an amendment to this Annual Report on Form 10-K (the “2026 Form 10-K/A”), in either case to be filed with the SEC within 120 days of the fiscal year ended June 30, 2026.</w:t>
      </w:r>
    </w:p>
    <w:p>
      <w:pPr>
        <w:pStyle w:val="TextBody"/>
        <w:bidi w:val="0"/>
        <w:spacing w:before="200" w:after="283"/>
        <w:jc w:val="both"/>
        <w:rPr>
          <w:rFonts w:ascii="Times New Roman" w:hAnsi="Times New Roman"/>
          <w:b/>
          <w:color w:val="000000"/>
          <w:sz w:val="20"/>
        </w:rPr>
      </w:pPr>
      <w:bookmarkStart w:id="30" w:name="item_11_executive_compensation"/>
      <w:bookmarkEnd w:id="30"/>
      <w:r>
        <w:rPr>
          <w:rFonts w:ascii="Times New Roman" w:hAnsi="Times New Roman"/>
          <w:b/>
          <w:color w:val="000000"/>
          <w:sz w:val="20"/>
        </w:rPr>
        <w:t>Item 11. Executive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2026 Proxy Statement or the 2026 Form 10-K/A.</w:t>
      </w:r>
    </w:p>
    <w:p>
      <w:pPr>
        <w:pStyle w:val="TextBody"/>
        <w:bidi w:val="0"/>
        <w:spacing w:before="200" w:after="283"/>
        <w:jc w:val="both"/>
        <w:rPr>
          <w:rFonts w:ascii="Times New Roman" w:hAnsi="Times New Roman"/>
          <w:sz w:val="20"/>
        </w:rPr>
      </w:pPr>
      <w:bookmarkStart w:id="31" w:name="item_12_security_ownership_of_certain"/>
      <w:bookmarkEnd w:id="31"/>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2026 Proxy Statement or the 2026 Form 10-K/A.</w:t>
      </w:r>
    </w:p>
    <w:p>
      <w:pPr>
        <w:pStyle w:val="TextBody"/>
        <w:bidi w:val="0"/>
        <w:spacing w:before="200" w:after="283"/>
        <w:jc w:val="both"/>
        <w:rPr>
          <w:rFonts w:ascii="Times New Roman" w:hAnsi="Times New Roman"/>
          <w:sz w:val="20"/>
        </w:rPr>
      </w:pPr>
      <w:bookmarkStart w:id="32" w:name="item_13_certain_relationships"/>
      <w:bookmarkEnd w:id="32"/>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2026 Proxy Statement or the 2026 Form 10-K/A.</w:t>
      </w:r>
    </w:p>
    <w:p>
      <w:pPr>
        <w:pStyle w:val="TextBody"/>
        <w:bidi w:val="0"/>
        <w:spacing w:before="200" w:after="283"/>
        <w:jc w:val="both"/>
        <w:rPr>
          <w:rFonts w:ascii="Times New Roman" w:hAnsi="Times New Roman"/>
          <w:b/>
          <w:color w:val="000000"/>
          <w:sz w:val="20"/>
        </w:rPr>
      </w:pPr>
      <w:bookmarkStart w:id="33" w:name="item_14_principal_accountant_fees"/>
      <w:bookmarkEnd w:id="33"/>
      <w:r>
        <w:rPr>
          <w:rFonts w:ascii="Times New Roman" w:hAnsi="Times New Roman"/>
          <w:b/>
          <w:color w:val="000000"/>
          <w:sz w:val="20"/>
        </w:rPr>
        <w:t>Item 14. Principal Accountant Fees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is incorporated by reference to the 2026 Proxy Statement or the 2026 Form 10-K/A.</w:t>
      </w:r>
    </w:p>
    <w:p>
      <w:pPr>
        <w:pStyle w:val="TextBody"/>
        <w:bidi w:val="0"/>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4" w:name="part_iv"/>
      <w:bookmarkEnd w:id="34"/>
      <w:r>
        <w:rPr>
          <w:rFonts w:ascii="Times New Roman" w:hAnsi="Times New Roman"/>
          <w:b/>
          <w:color w:val="000000"/>
          <w:sz w:val="20"/>
        </w:rPr>
        <w:t>PART IV</w:t>
      </w:r>
    </w:p>
    <w:p>
      <w:pPr>
        <w:pStyle w:val="TextBody"/>
        <w:bidi w:val="0"/>
        <w:spacing w:before="200" w:after="283"/>
        <w:jc w:val="left"/>
        <w:rPr>
          <w:rFonts w:ascii="Times New Roman" w:hAnsi="Times New Roman"/>
          <w:b/>
          <w:color w:val="000000"/>
          <w:sz w:val="20"/>
        </w:rPr>
      </w:pPr>
      <w:bookmarkStart w:id="35" w:name="item_15_exhibit_and_financial_statement"/>
      <w:bookmarkEnd w:id="35"/>
      <w:r>
        <w:rPr>
          <w:rFonts w:ascii="Times New Roman" w:hAnsi="Times New Roman"/>
          <w:b/>
          <w:color w:val="000000"/>
          <w:sz w:val="20"/>
        </w:rPr>
        <w:t>Item 15. Exhibit and Financial Statement Schedules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(a)(1) </w:t>
      </w:r>
      <w:r>
        <w:rPr>
          <w:rFonts w:ascii="Times New Roman" w:hAnsi="Times New Roman"/>
          <w:i/>
          <w:color w:val="000000"/>
          <w:sz w:val="20"/>
        </w:rPr>
        <w:t>Financial Statements</w:t>
      </w:r>
      <w:r>
        <w:rPr>
          <w:rFonts w:ascii="Times New Roman" w:hAnsi="Times New Roman"/>
          <w:color w:val="000000"/>
          <w:sz w:val="20"/>
        </w:rPr>
        <w:t>. The following consolidated financial statements of The Hain Celestial Group, Inc. are filed as part of this report under Part II, Item 8 - Financial Statements and Supplementary Data: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Report of Independent Registered Public Accounting Firm </w:t>
      </w:r>
    </w:p>
    <w:p>
      <w:pPr>
        <w:pStyle w:val="TextBody"/>
        <w:bidi w:val="0"/>
        <w:jc w:val="left"/>
        <w:rPr>
          <w:rFonts w:ascii="Times New Roman" w:hAnsi="Times New Roman"/>
          <w:color w:val="000000"/>
          <w:sz w:val="20"/>
        </w:rPr>
      </w:pPr>
      <w:r>
        <w:rPr>
          <w:rFonts w:ascii="Times New Roman" w:hAnsi="Times New Roman"/>
          <w:color w:val="000000"/>
          <w:sz w:val="20"/>
        </w:rPr>
        <w:t>Consolidated Balance Sheets - June 30, 2026 and 2025</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Operations - Fiscal Years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Comprehensive Loss - Fiscal Years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Stockholders’ Equity - Fiscal Years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Consolidated Statements of Cash Flows - Fiscal Years ended June 30, 2026 and 2025</w:t>
      </w:r>
    </w:p>
    <w:p>
      <w:pPr>
        <w:pStyle w:val="TextBody"/>
        <w:bidi w:val="0"/>
        <w:jc w:val="left"/>
        <w:rPr>
          <w:rFonts w:ascii="Times New Roman" w:hAnsi="Times New Roman"/>
          <w:color w:val="000000"/>
          <w:sz w:val="20"/>
        </w:rPr>
      </w:pPr>
      <w:r>
        <w:rPr>
          <w:rFonts w:ascii="Times New Roman" w:hAnsi="Times New Roman"/>
          <w:color w:val="000000"/>
          <w:sz w:val="20"/>
        </w:rPr>
        <w:t xml:space="preserve">Notes to Consolidated Financial Statements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(a)(2) </w:t>
      </w:r>
      <w:r>
        <w:rPr>
          <w:rFonts w:ascii="Times New Roman" w:hAnsi="Times New Roman"/>
          <w:i/>
          <w:color w:val="000000"/>
          <w:sz w:val="20"/>
        </w:rPr>
        <w:t>Financial Statement Schedules</w:t>
      </w:r>
      <w:r>
        <w:rPr>
          <w:rFonts w:ascii="Times New Roman" w:hAnsi="Times New Roman"/>
          <w:color w:val="000000"/>
          <w:sz w:val="20"/>
        </w:rPr>
        <w:t>. The following financial statement schedule should be read in conjunction with the consolidated financial statements included in Part II, Item 8, of this Annual Report on Form 10-K. All other financial schedules are not required under the related instructions or are not applicable and therefore have been omitted.</w:t>
      </w:r>
    </w:p>
    <w:p>
      <w:pPr>
        <w:pStyle w:val="TextBody"/>
        <w:bidi w:val="0"/>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The Hain Celestial Group,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Schedule II - Valuation and Qualifying Accounts</w:t>
      </w:r>
    </w:p>
    <w:p>
      <w:pPr>
        <w:pStyle w:val="TextBody"/>
        <w:bidi w:val="0"/>
        <w:jc w:val="left"/>
        <w:rPr/>
      </w:pPr>
      <w:r>
        <w:rPr/>
        <w:t> </w:t>
      </w:r>
    </w:p>
    <w:tbl>
      <w:tblPr>
        <w:tblW w:w="8751" w:type="dxa"/>
        <w:jc w:val="left"/>
        <w:tblInd w:w="0" w:type="dxa"/>
        <w:tblLayout w:type="fixed"/>
        <w:tblCellMar>
          <w:top w:w="28" w:type="dxa"/>
          <w:left w:w="28" w:type="dxa"/>
          <w:bottom w:w="28" w:type="dxa"/>
          <w:right w:w="28" w:type="dxa"/>
        </w:tblCellMar>
      </w:tblPr>
      <w:tblGrid>
        <w:gridCol w:w="3586"/>
        <w:gridCol w:w="146"/>
        <w:gridCol w:w="239"/>
        <w:gridCol w:w="766"/>
        <w:gridCol w:w="146"/>
        <w:gridCol w:w="146"/>
        <w:gridCol w:w="221"/>
        <w:gridCol w:w="709"/>
        <w:gridCol w:w="146"/>
        <w:gridCol w:w="146"/>
        <w:gridCol w:w="251"/>
        <w:gridCol w:w="754"/>
        <w:gridCol w:w="166"/>
        <w:gridCol w:w="146"/>
        <w:gridCol w:w="211"/>
        <w:gridCol w:w="781"/>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Column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Column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Column 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Column 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Column 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 of</w:t>
              <w:b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 to</w:t>
              <w:br/>
              <w:t>costs and</w:t>
              <w:br/>
              <w:t>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 -</w:t>
              <w:br/>
              <w:t>describe (i)</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Year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(i)</w:t>
      </w:r>
    </w:p>
    <w:p>
      <w:pPr>
        <w:pStyle w:val="TextBody"/>
        <w:bidi w:val="0"/>
        <w:jc w:val="left"/>
        <w:rPr>
          <w:rFonts w:ascii="Times New Roman" w:hAnsi="Times New Roman"/>
          <w:i/>
          <w:color w:val="000000"/>
          <w:sz w:val="20"/>
        </w:rPr>
      </w:pPr>
      <w:r>
        <w:rPr>
          <w:rFonts w:ascii="Times New Roman" w:hAnsi="Times New Roman"/>
          <w:i/>
          <w:color w:val="000000"/>
          <w:sz w:val="20"/>
        </w:rPr>
        <w:t>Amounts written off and changes in exchange rates.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(a)(3) </w:t>
      </w:r>
      <w:r>
        <w:rPr>
          <w:rFonts w:ascii="Times New Roman" w:hAnsi="Times New Roman"/>
          <w:i/>
          <w:color w:val="000000"/>
          <w:sz w:val="20"/>
        </w:rPr>
        <w:t>Exhibits</w:t>
      </w:r>
      <w:r>
        <w:rPr>
          <w:rFonts w:ascii="Times New Roman" w:hAnsi="Times New Roman"/>
          <w:color w:val="000000"/>
          <w:sz w:val="20"/>
        </w:rPr>
        <w:t>. The exhibits filed as part of this Annual Report on Form 10-K are listed on the Exhibit Index immediately following Item 16. “Form 10-K Summary,” which is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36" w:name="item_16_form_10k_summary"/>
      <w:bookmarkEnd w:id="36"/>
      <w:r>
        <w:rPr>
          <w:rFonts w:ascii="Times New Roman" w:hAnsi="Times New Roman"/>
          <w:b/>
          <w:color w:val="000000"/>
          <w:sz w:val="20"/>
        </w:rPr>
        <w:t>Item 16. Form 10-K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7" w:name="exhibit_index"/>
      <w:bookmarkEnd w:id="37"/>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
        <w:gridCol w:w="146"/>
        <w:gridCol w:w="9347"/>
      </w:tblGrid>
      <w:tr>
        <w:trPr/>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7" w:type="dxa"/>
            <w:tcBorders/>
            <w:vAlign w:val="center"/>
          </w:tcPr>
          <w:p>
            <w:pPr>
              <w:pStyle w:val="TableContents"/>
              <w:bidi w:val="0"/>
              <w:spacing w:before="0" w:after="283"/>
              <w:jc w:val="left"/>
              <w:rPr>
                <w:sz w:val="4"/>
                <w:szCs w:val="4"/>
              </w:rPr>
            </w:pPr>
            <w:r>
              <w:rPr>
                <w:sz w:val="4"/>
                <w:szCs w:val="4"/>
              </w:rPr>
            </w:r>
          </w:p>
        </w:tc>
      </w:tr>
      <w:tr>
        <w:trPr/>
        <w:tc>
          <w:tcPr>
            <w:tcW w:w="712" w:type="dxa"/>
            <w:tcBorders>
              <w:bottom w:val="single" w:sz="8" w:space="0" w:color="000000"/>
            </w:tcBorders>
            <w:shd w:fill="CCEE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47" w:type="dxa"/>
            <w:tcBorders>
              <w:bottom w:val="single" w:sz="8" w:space="0" w:color="000000"/>
            </w:tcBorders>
            <w:shd w:fill="CCEE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Asset Purchase Agreement dated as of January 30, 2026 by and between The Hain Celestial Group, Inc. and Snackruptors Inc. (incorporated by reference to Exhibit 2.1 of the Company’s Current Report on Form 8-K filed with the SEC on February 2, 2026).</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Share Purchase Agreement, dated September 12, 2026, among The Hain Celestial Group, Inc., Ella’s Kitchen Group Limited, The Hain Daniels Group Limited, Hain Celestial Europe B.V., and HCGI U.S. Finance Co., LLC, as the Sellers, and Aurelius V AcquiCo Twenty Four Limited and AURELIUS V GER AcquiCo Six GmbH, as the Purchasers (incorporated by reference to Exhibit 2.1 of the Company’s Current Report on Form 8-K filed with the SEC on September 14, 2026).</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000FF"/>
                  <w:sz w:val="20"/>
                  <w:u w:val="single"/>
                </w:rPr>
                <w:t>Restated Certificate of Incorporation (incorporated by reference to Exhibit 3.1 of the Company’s Annual Report on Form 10-K for the fiscal year ended June 30, 2021, filed with the SEC on August 26, 2021).</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6">
              <w:r>
                <w:rPr>
                  <w:rStyle w:val="InternetLink"/>
                  <w:rFonts w:ascii="Times New Roman" w:hAnsi="Times New Roman"/>
                  <w:color w:val="0000FF"/>
                  <w:sz w:val="20"/>
                  <w:u w:val="single"/>
                </w:rPr>
                <w:t>The Hain Celestial Group, Inc. Amended and Restated By-Laws (incorporated by reference to Exhibit 3.2 of the Company’s Quarterly Report on Form 10-Q for the fiscal quarter ended December 31, 2024, filed with the SEC on February 10, 2025).</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7">
              <w:r>
                <w:rPr>
                  <w:rStyle w:val="InternetLink"/>
                  <w:rFonts w:ascii="Times New Roman" w:hAnsi="Times New Roman"/>
                  <w:color w:val="0000FF"/>
                  <w:sz w:val="20"/>
                  <w:u w:val="single"/>
                </w:rPr>
                <w:t>Specimen of common stock certificate (incorporated by reference to Exhibit 4.1 of Amendment No. 1 to the Company’s Registration Statement on Form S-4 filed with the SEC on April 24, 2000).</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8">
              <w:r>
                <w:rPr>
                  <w:rStyle w:val="InternetLink"/>
                  <w:rFonts w:ascii="Times New Roman" w:hAnsi="Times New Roman"/>
                  <w:color w:val="0000FF"/>
                  <w:sz w:val="20"/>
                  <w:u w:val="single"/>
                </w:rPr>
                <w:t>Description of Registrant’s Securities (incorporated by reference to Exhibit 4.2 of the Company’s Annual Report on Form 10-K for the fiscal year ended June 30, 2019, filed with the SEC on August 29, 2019).</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9">
              <w:r>
                <w:rPr>
                  <w:rStyle w:val="InternetLink"/>
                  <w:rFonts w:ascii="Times New Roman" w:hAnsi="Times New Roman"/>
                  <w:color w:val="0000FF"/>
                  <w:sz w:val="20"/>
                  <w:u w:val="single"/>
                </w:rPr>
                <w:t>Fourth Amended and Restated Credit Agreement, dated December 22, 2021, by and among the Company, the Lenders party thereto and Bank of America, N.A., as administrative agent (incorporated by reference to Exhibit 10.1 of the Company’s Current Report on Form 8-K filed with the SEC on December 28, 2021).</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0">
              <w:r>
                <w:rPr>
                  <w:rStyle w:val="InternetLink"/>
                  <w:rFonts w:ascii="Times New Roman" w:hAnsi="Times New Roman"/>
                  <w:color w:val="0000FF"/>
                  <w:sz w:val="20"/>
                  <w:u w:val="single"/>
                </w:rPr>
                <w:t>First Amendment, dated December 16, 2022, to the Fourth Amended and Restated Credit Agreement, dated December 22, 2021, by and among the Company, the Lenders party thereto and Bank of America, N.A., as administrative agent (incorporated by reference to Exhibit 10.1 of the Company’s Current Report on Form 8-K filed with the SEC on December 21, 2022).</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1">
              <w:r>
                <w:rPr>
                  <w:rStyle w:val="InternetLink"/>
                  <w:rFonts w:ascii="Times New Roman" w:hAnsi="Times New Roman"/>
                  <w:color w:val="0000FF"/>
                  <w:sz w:val="20"/>
                  <w:u w:val="single"/>
                </w:rPr>
                <w:t>Second Amendment, dated August 22, 2023, to the Fourth Amended and Restated Credit Agreement, dated December 22, 2021, by and among the Company, the Lenders party thereto and Bank of America, N.A., as administrative agent (incorporated by reference to Exhibit 10.1 of the Company’s Quarterly Report on Form 10-Q for the fiscal quarter ended September 30, 2023, filed with the SEC on November 7, 2023).</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47" w:type="dxa"/>
            <w:tcBorders/>
            <w:tcMar>
              <w:top w:w="0" w:type="dxa"/>
              <w:left w:w="0" w:type="dxa"/>
              <w:bottom w:w="0" w:type="dxa"/>
              <w:right w:w="0" w:type="dxa"/>
            </w:tcMar>
            <w:vAlign w:val="center"/>
          </w:tcPr>
          <w:p>
            <w:pPr>
              <w:pStyle w:val="TableContents"/>
              <w:bidi w:val="0"/>
              <w:spacing w:before="0" w:after="283"/>
              <w:jc w:val="both"/>
              <w:rPr/>
            </w:pPr>
            <w:hyperlink r:id="rId12">
              <w:r>
                <w:rPr>
                  <w:rStyle w:val="InternetLink"/>
                  <w:rFonts w:ascii="Times New Roman" w:hAnsi="Times New Roman"/>
                  <w:color w:val="0000FF"/>
                  <w:sz w:val="20"/>
                  <w:u w:val="single"/>
                </w:rPr>
                <w:t>Third Amendment, dated May 5, 2025, to the Fourth Amended and Restated Credit Agreement, dated December 22, 2021, by and among the Company, the Lenders party thereto and Bank of America, N.A., as administrative agent (incorporated by reference to Exhibit 10.1.4 of the Company’s Annual Report on Form 10-K for the fiscal year ended June 30, 2025, filed with the SEC on September 15, 2025).</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tcMar>
              <w:top w:w="0" w:type="dxa"/>
              <w:left w:w="0" w:type="dxa"/>
              <w:bottom w:w="0" w:type="dxa"/>
              <w:right w:w="0" w:type="dxa"/>
            </w:tcMar>
            <w:vAlign w:val="center"/>
          </w:tcPr>
          <w:p>
            <w:pPr>
              <w:pStyle w:val="TableContents"/>
              <w:bidi w:val="0"/>
              <w:spacing w:before="0" w:after="283"/>
              <w:jc w:val="both"/>
              <w:rPr/>
            </w:pPr>
            <w:hyperlink r:id="rId13">
              <w:r>
                <w:rPr>
                  <w:rStyle w:val="InternetLink"/>
                  <w:rFonts w:ascii="Times New Roman" w:hAnsi="Times New Roman"/>
                  <w:color w:val="0000FF"/>
                  <w:sz w:val="20"/>
                  <w:u w:val="single"/>
                </w:rPr>
                <w:t>Fourth Amendment, dated September 11, 2025, to the Fourth Amended and Restated Credit Agreement, dated December 22, 2021, by and among the Company, the Lenders party thereto and Bank of America, N.A., as administrative agent (incorporated by reference to Exhibit 10.1.5 of the Company’s Annual Report on Form 10-K for the fiscal year ended June 30, 2025, filed with the SEC on September 15, 2025).</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7" w:type="dxa"/>
            <w:tcBorders/>
            <w:tcMar>
              <w:top w:w="0" w:type="dxa"/>
              <w:left w:w="0" w:type="dxa"/>
              <w:bottom w:w="0" w:type="dxa"/>
              <w:right w:w="0" w:type="dxa"/>
            </w:tcMar>
            <w:vAlign w:val="center"/>
          </w:tcPr>
          <w:p>
            <w:pPr>
              <w:pStyle w:val="TableContents"/>
              <w:bidi w:val="0"/>
              <w:spacing w:before="0" w:after="283"/>
              <w:jc w:val="both"/>
              <w:rPr/>
            </w:pPr>
            <w:hyperlink r:id="rId14">
              <w:r>
                <w:rPr>
                  <w:rStyle w:val="InternetLink"/>
                  <w:rFonts w:ascii="Times New Roman" w:hAnsi="Times New Roman"/>
                  <w:color w:val="0000FF"/>
                  <w:sz w:val="20"/>
                  <w:u w:val="single"/>
                </w:rPr>
                <w:t>Amended and Restated Security and Pledge Agreement, dated December 22, 2021, by and among the Company, certain wholly-owned subsidiaries of the Company party thereto from time to time, and Bank of America, N.A., as administrative agent (incorporated by reference to Exhibit 10.2 of the Company’s Current Report on Form 8-K filed with the SEC on December 28, 2021).</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15">
              <w:r>
                <w:rPr>
                  <w:rStyle w:val="InternetLink"/>
                  <w:rFonts w:ascii="Times New Roman" w:hAnsi="Times New Roman"/>
                  <w:color w:val="0000FF"/>
                  <w:sz w:val="20"/>
                  <w:u w:val="single"/>
                </w:rPr>
                <w:t>The Hain Celestial Group, Inc. 2022 Long Term Incentive and Stock Award Plan (incorporated by reference to Exhibit 10.1 of the Company’s Registration Statement on Form S-8 (Commission File No. 333-268439) filed with the Securities and Exchange Commission on November 17, 2022).</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tcMar>
              <w:top w:w="0" w:type="dxa"/>
              <w:left w:w="0" w:type="dxa"/>
              <w:bottom w:w="0" w:type="dxa"/>
              <w:right w:w="0" w:type="dxa"/>
            </w:tcMar>
            <w:vAlign w:val="center"/>
          </w:tcPr>
          <w:p>
            <w:pPr>
              <w:pStyle w:val="TableContents"/>
              <w:bidi w:val="0"/>
              <w:spacing w:before="0" w:after="283"/>
              <w:jc w:val="both"/>
              <w:rPr/>
            </w:pPr>
            <w:hyperlink r:id="rId16">
              <w:r>
                <w:rPr>
                  <w:rStyle w:val="InternetLink"/>
                  <w:rFonts w:ascii="Times New Roman" w:hAnsi="Times New Roman"/>
                  <w:color w:val="0000FF"/>
                  <w:sz w:val="20"/>
                  <w:u w:val="single"/>
                </w:rPr>
                <w:t>First Amendment to The Hain Celestial Group, Inc. 2022 Long Term Incentive and Stock Award Plan (incorporated by reference to Exhibit 10.1 of the Company’s Current Report on Form 8-K filed with the SEC on November 5, 2024).</w:t>
              </w:r>
            </w:hyperlink>
          </w:p>
        </w:tc>
      </w:tr>
      <w:tr>
        <w:trPr/>
        <w:tc>
          <w:tcPr>
            <w:tcW w:w="7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4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4"/>
        <w:gridCol w:w="146"/>
        <w:gridCol w:w="9295"/>
      </w:tblGrid>
      <w:tr>
        <w:trPr/>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5" w:type="dxa"/>
            <w:tcBorders/>
            <w:vAlign w:val="center"/>
          </w:tcPr>
          <w:p>
            <w:pPr>
              <w:pStyle w:val="TableContents"/>
              <w:bidi w:val="0"/>
              <w:spacing w:before="0" w:after="283"/>
              <w:jc w:val="left"/>
              <w:rPr>
                <w:sz w:val="4"/>
                <w:szCs w:val="4"/>
              </w:rPr>
            </w:pPr>
            <w:r>
              <w:rPr>
                <w:sz w:val="4"/>
                <w:szCs w:val="4"/>
              </w:rPr>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17">
              <w:r>
                <w:rPr>
                  <w:rStyle w:val="InternetLink"/>
                  <w:rFonts w:ascii="Times New Roman" w:hAnsi="Times New Roman"/>
                  <w:color w:val="0000FF"/>
                  <w:sz w:val="20"/>
                  <w:u w:val="single"/>
                </w:rPr>
                <w:t>Second Amendment to The Hain Celestial Group, Inc. 2022 Long Term Incentive and Stock Award Plan (incorporated by reference to Exhibit 10.1 of the Company’s Current Report on Form 8-K filed with the SEC on November 5, 2025).</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18">
              <w:r>
                <w:rPr>
                  <w:rStyle w:val="InternetLink"/>
                  <w:rFonts w:ascii="Times New Roman" w:hAnsi="Times New Roman"/>
                  <w:color w:val="0000FF"/>
                  <w:sz w:val="20"/>
                  <w:u w:val="single"/>
                </w:rPr>
                <w:t>Form of Restricted Share Unit Agreement under The Hain Celestial Group, Inc. 2022 Long Term Incentive and Stock Award Plan – Non-Employee Director Awards (incorporated by reference to Exhibit 10.6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19">
              <w:r>
                <w:rPr>
                  <w:rStyle w:val="InternetLink"/>
                  <w:rFonts w:ascii="Times New Roman" w:hAnsi="Times New Roman"/>
                  <w:color w:val="0000FF"/>
                  <w:sz w:val="20"/>
                  <w:u w:val="single"/>
                </w:rPr>
                <w:t>Restricted Share Unit Agreement under The Hain Celestial Group, Inc. 2022 Long Term Incentive and Stock Award Plan - Alison E. Lewis (incorporated by reference to Exhibit 10.7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0">
              <w:r>
                <w:rPr>
                  <w:rStyle w:val="InternetLink"/>
                  <w:rFonts w:ascii="Times New Roman" w:hAnsi="Times New Roman"/>
                  <w:color w:val="0000FF"/>
                  <w:sz w:val="20"/>
                  <w:u w:val="single"/>
                </w:rPr>
                <w:t>Performance Share Unit Agreement under The Hain Celestial Group, Inc. 2022 Long Term Incentive and Stock Award Plan - Alison E. Lewis (incorporated by reference to Exhibit 10.8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1">
              <w:r>
                <w:rPr>
                  <w:rStyle w:val="InternetLink"/>
                  <w:rFonts w:ascii="Times New Roman" w:hAnsi="Times New Roman"/>
                  <w:color w:val="0000FF"/>
                  <w:sz w:val="20"/>
                  <w:u w:val="single"/>
                </w:rPr>
                <w:t>Form of Restricted Share Unit Agreement under The Hain Celestial Group, Inc. 2022 Long Term Incentive and Stock Award Plan – 2026-2028 LTIP (incorporated by reference to Exhibit 10.2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2">
              <w:r>
                <w:rPr>
                  <w:rStyle w:val="InternetLink"/>
                  <w:rFonts w:ascii="Times New Roman" w:hAnsi="Times New Roman"/>
                  <w:color w:val="0000FF"/>
                  <w:sz w:val="20"/>
                  <w:u w:val="single"/>
                </w:rPr>
                <w:t>Form of Performance Share Unit Agreement under The Hain Celestial Group, Inc. 2022 Long Term Incentive and Stock Award Plan – 2026-2028 LTIP (Relative Total Shareholder Return) (incorporated by reference to Exhibit 10.3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3">
              <w:r>
                <w:rPr>
                  <w:rStyle w:val="InternetLink"/>
                  <w:rFonts w:ascii="Times New Roman" w:hAnsi="Times New Roman"/>
                  <w:color w:val="0000FF"/>
                  <w:sz w:val="20"/>
                  <w:u w:val="single"/>
                </w:rPr>
                <w:t>Form of Performance Share Unit Agreement under The Hain Celestial Group, Inc. 2022 Long Term Incentive and Stock Award Plan – 2026-2028 LTIP (Adjusted EBITDA Margin) (incorporated by reference to Exhibit 10.4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4">
              <w:r>
                <w:rPr>
                  <w:rStyle w:val="InternetLink"/>
                  <w:rFonts w:ascii="Times New Roman" w:hAnsi="Times New Roman"/>
                  <w:color w:val="0000FF"/>
                  <w:sz w:val="20"/>
                  <w:u w:val="single"/>
                </w:rPr>
                <w:t>Form of Performance Share Unit Agreement under The Hain Celestial Group, Inc. 2022 Long Term Incentive and Stock Award Plan – 2026-2028 LTIP (Unlevered Free Cash Flow) (incorporated by reference to Exhibit 10.5 of the Company’s Quarterly Report on Form 10-Q for the fiscal quarter ended December 31, 2025, filed with the SEC on February 9, 2026).</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5">
              <w:r>
                <w:rPr>
                  <w:rStyle w:val="InternetLink"/>
                  <w:rFonts w:ascii="Times New Roman" w:hAnsi="Times New Roman"/>
                  <w:color w:val="0000FF"/>
                  <w:sz w:val="20"/>
                  <w:u w:val="single"/>
                </w:rPr>
                <w:t>Form of Restricted Share Unit Agreement under The Hain Celestial Group, Inc. 2022 Long Term Incentive and Stock Award Plan – 2025-2027 LTIP (incorporated by reference to Exhibit 10.2 of the Company’s Quarterly Report on Form 10-Q for the fiscal quarter ended December 31, 2024, filed with the SEC on February 10, 2025).</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6">
              <w:r>
                <w:rPr>
                  <w:rStyle w:val="InternetLink"/>
                  <w:rFonts w:ascii="Times New Roman" w:hAnsi="Times New Roman"/>
                  <w:color w:val="0000FF"/>
                  <w:sz w:val="20"/>
                  <w:u w:val="single"/>
                </w:rPr>
                <w:t>Form of Performance Share Unit Agreement under The Hain Celestial Group, Inc. 2022 Long Term Incentive and Stock Award Plan – 2025-2027 LTIP (Relative Total Shareholder Return) (incorporated by reference to Exhibit 10.3 of the Company’s Quarterly Report on Form 10-Q for the fiscal quarter ended December 31, 2024, filed with the SEC on February 10, 2025).</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7">
              <w:r>
                <w:rPr>
                  <w:rStyle w:val="InternetLink"/>
                  <w:rFonts w:ascii="Times New Roman" w:hAnsi="Times New Roman"/>
                  <w:color w:val="0000FF"/>
                  <w:sz w:val="20"/>
                  <w:u w:val="single"/>
                </w:rPr>
                <w:t>Form of Performance Share Unit Agreement under The Hain Celestial Group, Inc. 2022 Long Term Incentive and Stock Award Plan – 2025-2027 LTIP (Adjusted EBITDA Margin) (incorporated by reference to Exhibit 10.4 of the Company’s Quarterly Report on Form 10-Q for the fiscal quarter ended December 31, 2024, filed with the SEC on February 10, 2025).</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8">
              <w:r>
                <w:rPr>
                  <w:rStyle w:val="InternetLink"/>
                  <w:rFonts w:ascii="Times New Roman" w:hAnsi="Times New Roman"/>
                  <w:color w:val="0000FF"/>
                  <w:sz w:val="20"/>
                  <w:u w:val="single"/>
                </w:rPr>
                <w:t>Form of Performance Share Unit Agreement under The Hain Celestial Group, Inc. 2022 Long Term Incentive and Stock Award Plan – 2025-2027 LTIP (Unlevered Free Cash Flow) (incorporated by reference to Exhibit 10.5 of the Company’s Quarterly Report on Form 10-Q for the fiscal quarter ended December 31, 2024, filed with the SEC on February 10, 2025).</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29">
              <w:r>
                <w:rPr>
                  <w:rStyle w:val="InternetLink"/>
                  <w:rFonts w:ascii="Times New Roman" w:hAnsi="Times New Roman"/>
                  <w:color w:val="0000FF"/>
                  <w:sz w:val="20"/>
                  <w:u w:val="single"/>
                </w:rPr>
                <w:t>Form of Restricted Share Unit Agreement under The Hain Celestial Group, Inc. 2022 Long Term Incentive and Stock Award Plan – 2024-2026 LTIP (incorporated by reference to Exhibit 10.1 of the Company’s Quarterly Report on Form 10-Q for the fiscal quarter ended December 31, 2023, filed with the SEC on February 7, 2024).</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95" w:type="dxa"/>
            <w:tcBorders/>
            <w:tcMar>
              <w:top w:w="0" w:type="dxa"/>
              <w:left w:w="0" w:type="dxa"/>
              <w:bottom w:w="0" w:type="dxa"/>
              <w:right w:w="0" w:type="dxa"/>
            </w:tcMar>
            <w:vAlign w:val="center"/>
          </w:tcPr>
          <w:p>
            <w:pPr>
              <w:pStyle w:val="TableContents"/>
              <w:bidi w:val="0"/>
              <w:spacing w:before="0" w:after="283"/>
              <w:jc w:val="both"/>
              <w:rPr/>
            </w:pPr>
            <w:hyperlink r:id="rId30">
              <w:r>
                <w:rPr>
                  <w:rStyle w:val="InternetLink"/>
                  <w:rFonts w:ascii="Times New Roman" w:hAnsi="Times New Roman"/>
                  <w:color w:val="0000FF"/>
                  <w:sz w:val="20"/>
                  <w:u w:val="single"/>
                </w:rPr>
                <w:t>Form of Performance Share Unit Agreement under The Hain Celestial Group, Inc. 2022 Long Term Incentive and Stock Award Plan – 2024-2026 LTIP (Relative Total Shareholder Return) (incorporated by reference to Exhibit 10.3 of the Company’s Quarterly Report on Form 10-Q for the fiscal quarter ended December 31, 2023, filed with the SEC on February 7, 2024).</w:t>
              </w:r>
            </w:hyperlink>
          </w:p>
        </w:tc>
      </w:tr>
      <w:tr>
        <w:trPr/>
        <w:tc>
          <w:tcPr>
            <w:tcW w:w="76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
        <w:gridCol w:w="146"/>
        <w:gridCol w:w="9297"/>
      </w:tblGrid>
      <w:tr>
        <w:trPr/>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7" w:type="dxa"/>
            <w:tcBorders/>
            <w:vAlign w:val="center"/>
          </w:tcPr>
          <w:p>
            <w:pPr>
              <w:pStyle w:val="TableContents"/>
              <w:bidi w:val="0"/>
              <w:spacing w:before="0" w:after="283"/>
              <w:jc w:val="left"/>
              <w:rPr>
                <w:sz w:val="4"/>
                <w:szCs w:val="4"/>
              </w:rPr>
            </w:pPr>
            <w:r>
              <w:rPr>
                <w:sz w:val="4"/>
                <w:szCs w:val="4"/>
              </w:rPr>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297" w:type="dxa"/>
            <w:tcBorders/>
            <w:tcMar>
              <w:top w:w="0" w:type="dxa"/>
              <w:left w:w="0" w:type="dxa"/>
              <w:bottom w:w="0" w:type="dxa"/>
              <w:right w:w="0" w:type="dxa"/>
            </w:tcMar>
            <w:vAlign w:val="center"/>
          </w:tcPr>
          <w:p>
            <w:pPr>
              <w:pStyle w:val="TableContents"/>
              <w:bidi w:val="0"/>
              <w:spacing w:before="0" w:after="283"/>
              <w:jc w:val="both"/>
              <w:rPr/>
            </w:pPr>
            <w:hyperlink r:id="rId31">
              <w:r>
                <w:rPr>
                  <w:rStyle w:val="InternetLink"/>
                  <w:rFonts w:ascii="Times New Roman" w:hAnsi="Times New Roman"/>
                  <w:color w:val="0000FF"/>
                  <w:sz w:val="20"/>
                  <w:u w:val="single"/>
                </w:rPr>
                <w:t>Form of Performance Share Unit Agreement under The Hain Celestial Group, Inc. 2022 Long Term Incentive and Stock Award Plan – 2024-2026 LTIP (Absolute Total Shareholder Return) (incorporated by reference to Exhibit 10.2 of the Company’s Quarterly Report on Form 10-Q for the fiscal quarter ended December 31, 2023, filed with the SEC on February 7, 2024).</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tcMar>
              <w:top w:w="0" w:type="dxa"/>
              <w:left w:w="0" w:type="dxa"/>
              <w:bottom w:w="0" w:type="dxa"/>
              <w:right w:w="0" w:type="dxa"/>
            </w:tcMar>
            <w:vAlign w:val="center"/>
          </w:tcPr>
          <w:p>
            <w:pPr>
              <w:pStyle w:val="TableContents"/>
              <w:bidi w:val="0"/>
              <w:spacing w:before="0" w:after="283"/>
              <w:jc w:val="both"/>
              <w:rPr/>
            </w:pPr>
            <w:hyperlink r:id="rId32">
              <w:r>
                <w:rPr>
                  <w:rStyle w:val="InternetLink"/>
                  <w:rFonts w:ascii="Times New Roman" w:hAnsi="Times New Roman"/>
                  <w:color w:val="0000FF"/>
                  <w:sz w:val="20"/>
                  <w:u w:val="single"/>
                </w:rPr>
                <w:t>Restricted Share Unit Agreement under The Hain Celestial Group, Inc. 2022 Long Term Incentive and Stock Award Plan – Alison E. Lewis (incorporated by reference to Exhibit 10.2.15 of the Company’s Annual Report on Form 10-K for the fiscal year ended June 30, 2025, filed with the SEC on September 15, 2025).</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3">
              <w:r>
                <w:rPr>
                  <w:rStyle w:val="InternetLink"/>
                  <w:rFonts w:ascii="Times New Roman" w:hAnsi="Times New Roman"/>
                  <w:color w:val="0000FF"/>
                  <w:sz w:val="20"/>
                  <w:u w:val="single"/>
                </w:rPr>
                <w:t>The Hain Celestial Group, Inc. Amended and Restated 2002 Long Term Incentive and Stock Award Plan (incorporated by reference to Exhibit 10.2.1 of the Company’s Annual Report on Form 10-K for the fiscal year ended June 30, 2019, filed with the SEC on August 29, 2019).</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4">
              <w:r>
                <w:rPr>
                  <w:rStyle w:val="InternetLink"/>
                  <w:rFonts w:ascii="Times New Roman" w:hAnsi="Times New Roman"/>
                  <w:color w:val="0000FF"/>
                  <w:sz w:val="20"/>
                  <w:u w:val="single"/>
                </w:rPr>
                <w:t>Form of Restricted Share Unit Agreement under The Hain Celestial Group, Inc. Amended and Restated 2002 Long Term Incentive and Stock Award Plan – 2023-2025 LTIP (incorporated by reference to Exhibit 10.1 of the Company’s Quarterly Report on Form 10-Q for the fiscal quarter ended September 30, 2022, filed with the SEC on November 8, 2022).</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5">
              <w:r>
                <w:rPr>
                  <w:rStyle w:val="InternetLink"/>
                  <w:rFonts w:ascii="Times New Roman" w:hAnsi="Times New Roman"/>
                  <w:color w:val="0000FF"/>
                  <w:sz w:val="20"/>
                  <w:u w:val="single"/>
                </w:rPr>
                <w:t>Form of Performance Share Unit Agreement under The Hain Celestial Group, Inc. Amended and Restated 2002 Long Term Incentive and Stock Award Plan – 2023-2025 LTIP (Relative Total Shareholder Return) (incorporated by reference to Exhibit 10.3 of the Company’s Quarterly Report on Form 10-Q for the fiscal quarter ended September 30, 2022, filed with the SEC on November 8, 2022).</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6">
              <w:r>
                <w:rPr>
                  <w:rStyle w:val="InternetLink"/>
                  <w:rFonts w:ascii="Times New Roman" w:hAnsi="Times New Roman"/>
                  <w:color w:val="0000FF"/>
                  <w:sz w:val="20"/>
                  <w:u w:val="single"/>
                </w:rPr>
                <w:t>Form of Performance Share Unit Agreement under The Hain Celestial Group, Inc. Amended and Restated 2002 Long Term Incentive and Stock Award Plan – 2023-2025 LTIP (Absolute Total Shareholder Return) (incorporated by reference to Exhibit 10.2 of the Company’s Quarterly Report on Form 10-Q for the fiscal quarter ended September 30, 2022, filed with the SEC on November 8, 2022).</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tcMar>
              <w:top w:w="0" w:type="dxa"/>
              <w:left w:w="0" w:type="dxa"/>
              <w:bottom w:w="0" w:type="dxa"/>
              <w:right w:w="0" w:type="dxa"/>
            </w:tcMar>
            <w:vAlign w:val="center"/>
          </w:tcPr>
          <w:p>
            <w:pPr>
              <w:pStyle w:val="TableContents"/>
              <w:bidi w:val="0"/>
              <w:spacing w:before="0" w:after="283"/>
              <w:jc w:val="both"/>
              <w:rPr/>
            </w:pPr>
            <w:hyperlink r:id="rId37">
              <w:r>
                <w:rPr>
                  <w:rStyle w:val="InternetLink"/>
                  <w:rFonts w:ascii="Times New Roman" w:hAnsi="Times New Roman"/>
                  <w:color w:val="0000FF"/>
                  <w:sz w:val="20"/>
                  <w:u w:val="single"/>
                </w:rPr>
                <w:t>The Hain Celestial Group, Inc. 2026 Retention Plan (incorporated by reference to Exhibit 10.1 of the Company’s Current Report on Form 8-K filed with the SEC on April 17, 2026).</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000FF"/>
                  <w:sz w:val="20"/>
                  <w:u w:val="single"/>
                </w:rPr>
                <w:t>The Hain Celestial Group, Inc. Amended and Restated Executive Incentive Plan (incorporated by reference to Exhibit 10.1 of the Company’s Current Report on Form 8-K filed with the SEC on November 1, 2019).</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tcMar>
              <w:top w:w="0" w:type="dxa"/>
              <w:left w:w="0" w:type="dxa"/>
              <w:bottom w:w="0" w:type="dxa"/>
              <w:right w:w="0" w:type="dxa"/>
            </w:tcMar>
            <w:vAlign w:val="center"/>
          </w:tcPr>
          <w:p>
            <w:pPr>
              <w:pStyle w:val="TableContents"/>
              <w:bidi w:val="0"/>
              <w:spacing w:before="0" w:after="283"/>
              <w:jc w:val="both"/>
              <w:rPr/>
            </w:pPr>
            <w:hyperlink r:id="rId39">
              <w:r>
                <w:rPr>
                  <w:rStyle w:val="InternetLink"/>
                  <w:rFonts w:ascii="Times New Roman" w:hAnsi="Times New Roman"/>
                  <w:color w:val="0000FF"/>
                  <w:sz w:val="20"/>
                  <w:u w:val="single"/>
                </w:rPr>
                <w:t>Employment Agreement, dated as of December 12, 2025, by and between The Hain Celestial Group, Inc. and Alison E. Lewis (incorporated by reference to Exhibit 10.1 to the Company’s Current Report on Form 8-K filed with the SEC on December 15, 2025).</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tcMar>
              <w:top w:w="0" w:type="dxa"/>
              <w:left w:w="0" w:type="dxa"/>
              <w:bottom w:w="0" w:type="dxa"/>
              <w:right w:w="0" w:type="dxa"/>
            </w:tcMar>
            <w:vAlign w:val="center"/>
          </w:tcPr>
          <w:p>
            <w:pPr>
              <w:pStyle w:val="TableContents"/>
              <w:bidi w:val="0"/>
              <w:spacing w:before="0" w:after="283"/>
              <w:jc w:val="both"/>
              <w:rPr/>
            </w:pPr>
            <w:hyperlink r:id="rId40">
              <w:r>
                <w:rPr>
                  <w:rStyle w:val="InternetLink"/>
                  <w:rFonts w:ascii="Times New Roman" w:hAnsi="Times New Roman"/>
                  <w:color w:val="0000FF"/>
                  <w:sz w:val="20"/>
                  <w:u w:val="single"/>
                </w:rPr>
                <w:t>Change in Control Agreement, dated as of December 12, 2025, by and between The Hain Celestial Group, Inc. and Alison E. Lewis (incorporated by reference to Exhibit 10.2 to the Company’s Current Report on Form 8-K filed with the SEC on December 15, 2025).</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1">
              <w:r>
                <w:rPr>
                  <w:rStyle w:val="InternetLink"/>
                  <w:rFonts w:ascii="Times New Roman" w:hAnsi="Times New Roman"/>
                  <w:color w:val="0000FF"/>
                  <w:sz w:val="20"/>
                  <w:u w:val="single"/>
                </w:rPr>
                <w:t>Offer Letter, dated May 8, 2025, between the Company and Alison E. Lewis (incorporated by reference to Exhibit 10.5 of the Company’s Annual Report on Form 10-K for the fiscal year ended June 30, 2025, filed with the SEC on September 15, 2025).</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2">
              <w:r>
                <w:rPr>
                  <w:rStyle w:val="InternetLink"/>
                  <w:rFonts w:ascii="Times New Roman" w:hAnsi="Times New Roman"/>
                  <w:color w:val="0000FF"/>
                  <w:sz w:val="20"/>
                  <w:u w:val="single"/>
                </w:rPr>
                <w:t>Offer Letter, dated August 23, 2023, between the Company and Lee A. Boyce (incorporated by reference to Exhibit 10.2 of the Company’s Quarterly Report on Form 10-Q for the fiscal quarter ended September 30, 2023, filed with the SEC on November 7, 2023).</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3">
              <w:r>
                <w:rPr>
                  <w:rStyle w:val="InternetLink"/>
                  <w:rFonts w:ascii="Times New Roman" w:hAnsi="Times New Roman"/>
                  <w:color w:val="0000FF"/>
                  <w:sz w:val="20"/>
                  <w:u w:val="single"/>
                </w:rPr>
                <w:t>Form of Change in Control Agreement (incorporated by reference to Exhibit 10.12 of the Company’s Annual Report on Form 10-K for the fiscal year ended June 30, 2019, filed with the SEC on August 29, 2019).</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4">
              <w:r>
                <w:rPr>
                  <w:rStyle w:val="InternetLink"/>
                  <w:rFonts w:ascii="Times New Roman" w:hAnsi="Times New Roman"/>
                  <w:color w:val="0000FF"/>
                  <w:sz w:val="20"/>
                  <w:u w:val="single"/>
                </w:rPr>
                <w:t>Form of Indemnification Agreement (incorporated by reference to Exhibit 10.1 to the Company’s Quarterly Report on Form 10-Q for the fiscal quarter ended March 31, 2020, filed with the SEC on May 7, 2020).</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5">
              <w:r>
                <w:rPr>
                  <w:rStyle w:val="InternetLink"/>
                  <w:rFonts w:ascii="Times New Roman" w:hAnsi="Times New Roman"/>
                  <w:color w:val="0000FF"/>
                  <w:sz w:val="20"/>
                  <w:u w:val="single"/>
                </w:rPr>
                <w:t>Form of Confidentiality, Non-Interference, and Invention Assignment Agreement (incorporated by reference to Exhibit 10.8 of the Company’s Quarterly Report on Form 10-Q for the fiscal quarter ended March 31, 2019, filed with the SEC on May 9, 2019).</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6">
              <w:r>
                <w:rPr>
                  <w:rStyle w:val="InternetLink"/>
                  <w:rFonts w:ascii="Times New Roman" w:hAnsi="Times New Roman"/>
                  <w:color w:val="0000FF"/>
                  <w:sz w:val="20"/>
                  <w:u w:val="single"/>
                </w:rPr>
                <w:t>The Hain Celestial Group, Inc. Insider Trading Policy (incorporated by reference to Exhibit 19.1 of the Company’s Annual Report on Form 10-K for the fiscal year ended June 30, 2025, filed with the SEC on September 15, 2025).</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21_1.htm">
              <w:r>
                <w:rPr>
                  <w:rStyle w:val="InternetLink"/>
                  <w:rFonts w:ascii="Times New Roman" w:hAnsi="Times New Roman"/>
                  <w:color w:val="000080"/>
                  <w:sz w:val="20"/>
                  <w:u w:val="single"/>
                </w:rPr>
                <w:t>Subsidiaries of the Company</w:t>
              </w:r>
            </w:hyperlink>
            <w:r>
              <w:rPr>
                <w:rFonts w:ascii="Times New Roman" w:hAnsi="Times New Roman"/>
                <w:color w:val="0000FF"/>
                <w:sz w:val="20"/>
                <w:u w:val="single"/>
              </w:rPr>
              <w:t>.</w:t>
            </w:r>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23_1.htm">
              <w:r>
                <w:rPr>
                  <w:rStyle w:val="InternetLink"/>
                  <w:rFonts w:ascii="Times New Roman" w:hAnsi="Times New Roman"/>
                  <w:color w:val="0000FF"/>
                  <w:sz w:val="20"/>
                  <w:u w:val="single"/>
                </w:rPr>
                <w:t>Consent of Independent Registered Public Accounting Firm - Ernst &amp; Young LLP.</w:t>
              </w:r>
            </w:hyperlink>
          </w:p>
        </w:tc>
      </w:tr>
      <w:tr>
        <w:trPr/>
        <w:tc>
          <w:tcPr>
            <w:tcW w:w="76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9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31_1.htm">
              <w:r>
                <w:rPr>
                  <w:rStyle w:val="InternetLink"/>
                  <w:rFonts w:ascii="Times New Roman" w:hAnsi="Times New Roman"/>
                  <w:color w:val="0000FF"/>
                  <w:sz w:val="20"/>
                  <w:u w:val="single"/>
                </w:rPr>
                <w:t>Certification of Chief Executive Officer pursuant to Rule 13a-14(a) and Rule 15d-14(a) of the Securities Exchange Act, as amended.</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31_2.htm">
              <w:r>
                <w:rPr>
                  <w:rStyle w:val="InternetLink"/>
                  <w:rFonts w:ascii="Times New Roman" w:hAnsi="Times New Roman"/>
                  <w:color w:val="0000FF"/>
                  <w:sz w:val="20"/>
                  <w:u w:val="single"/>
                </w:rPr>
                <w:t>Certification of Chief Financial Officer pursuant to Rule 13a-14(a) and Rule 15d-14(a) of the Securities Exchange Act, as amended.</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32_1.htm">
              <w:r>
                <w:rPr>
                  <w:rStyle w:val="InternetLink"/>
                  <w:rFonts w:ascii="Times New Roman" w:hAnsi="Times New Roman"/>
                  <w:color w:val="0000FF"/>
                  <w:sz w:val="20"/>
                  <w:u w:val="single"/>
                </w:rPr>
                <w:t>Certification by CEO pursuant to 18 U.S.C. Section 1350, as adopted pursuant to Section 906 of the Sarbanes-Oxley Act of 2002.</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hain-ex32_2.htm">
              <w:r>
                <w:rPr>
                  <w:rStyle w:val="InternetLink"/>
                  <w:rFonts w:ascii="Times New Roman" w:hAnsi="Times New Roman"/>
                  <w:color w:val="0000FF"/>
                  <w:sz w:val="20"/>
                  <w:u w:val="single"/>
                </w:rPr>
                <w:t>Certification by CFO pursuant to 18 U.S.C. Section 1350, as adopted pursuant to Section 906 of the Sarbanes-Oxley Act of 2002.</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7">
              <w:r>
                <w:rPr>
                  <w:rStyle w:val="InternetLink"/>
                  <w:rFonts w:ascii="Times New Roman" w:hAnsi="Times New Roman"/>
                  <w:color w:val="0000FF"/>
                  <w:sz w:val="20"/>
                  <w:u w:val="single"/>
                </w:rPr>
                <w:t>The Hain Celestial Group, Inc. Incentive Compensation Clawback Policy (incorporated by reference to Exhibit 97.1 of the Company’s Annual Report on Form 10-K for the fiscal year ended June 30, 2024 filed with the SEC on August 27, 2024).</w:t>
              </w:r>
            </w:hyperlink>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following materials from the Company’s Annual Report on Form 10-K for the fiscal year ended June 30, 2025, formatted in inline XBRL (eXtensible Business Reporting Language): (i) the Consolidated Balance Sheets, (ii) the Consolidated Statements of Operations, (iii) the Consolidated Statements of Comprehensive Loss, (iv) the Consolidated Statements of Stockholders’ Equity, (v) the Consolidated Statements of Cash Flows, (vi) Notes to Consolidated Financial Statements, and (vii) Financial Statement Schedule.</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in inline XBRL and contained in Exhibit 101).</w:t>
            </w:r>
          </w:p>
        </w:tc>
      </w:tr>
      <w:tr>
        <w:trPr/>
        <w:tc>
          <w:tcPr>
            <w:tcW w:w="48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120"/>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Schedules and exhibits have been omitted pursuant to Item 601(b)(2) of Regulation S-K. The registrant agrees to furnish supplementally to the SEC a copy of any omitted schedule or exhibit upon request by the SEC. Certain portions of this exhibit have been redacted pursuant to Item 601(b)(10)(iv) of Regulation S-K. The registrant agrees to furnish supplementally an unredacted copy of the exhibit to the SEC upon its request.</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Indicates management contract or compensatory plan or arrangement.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 </w:t>
      </w:r>
    </w:p>
    <w:p>
      <w:pPr>
        <w:pStyle w:val="TextBody"/>
        <w:bidi w:val="0"/>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u w:val="single"/>
        </w:rPr>
      </w:pPr>
      <w:bookmarkStart w:id="38" w:name="signatures"/>
      <w:bookmarkEnd w:id="38"/>
      <w:r>
        <w:rPr>
          <w:rFonts w:ascii="Times New Roman" w:hAnsi="Times New Roman"/>
          <w:b/>
          <w:color w:val="000000"/>
          <w:sz w:val="20"/>
          <w:u w:val="single"/>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5553" w:type="dxa"/>
        <w:jc w:val="left"/>
        <w:tblInd w:w="0" w:type="dxa"/>
        <w:tblLayout w:type="fixed"/>
        <w:tblCellMar>
          <w:top w:w="28" w:type="dxa"/>
          <w:left w:w="28" w:type="dxa"/>
          <w:bottom w:w="28" w:type="dxa"/>
          <w:right w:w="28" w:type="dxa"/>
        </w:tblCellMar>
      </w:tblPr>
      <w:tblGrid>
        <w:gridCol w:w="556"/>
        <w:gridCol w:w="1726"/>
        <w:gridCol w:w="3271"/>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HAIN CELESTIAL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14, 2026</w:t>
            </w:r>
          </w:p>
        </w:tc>
        <w:tc>
          <w:tcPr>
            <w:tcW w:w="32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Lee A. Boyce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327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Lee A. Boyce</w:t>
            </w:r>
          </w:p>
          <w:p>
            <w:pPr>
              <w:pStyle w:val="TableContents"/>
              <w:bidi w:val="0"/>
              <w:jc w:val="center"/>
              <w:rPr>
                <w:rFonts w:ascii="Times New Roman" w:hAnsi="Times New Roman"/>
                <w:i/>
                <w:color w:val="000000"/>
                <w:sz w:val="20"/>
              </w:rPr>
            </w:pPr>
            <w:r>
              <w:rPr>
                <w:rFonts w:ascii="Times New Roman" w:hAnsi="Times New Roman"/>
                <w:i/>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7225" w:type="dxa"/>
        <w:jc w:val="left"/>
        <w:tblInd w:w="0" w:type="dxa"/>
        <w:tblLayout w:type="fixed"/>
        <w:tblCellMar>
          <w:top w:w="28" w:type="dxa"/>
          <w:left w:w="28" w:type="dxa"/>
          <w:bottom w:w="28" w:type="dxa"/>
          <w:right w:w="28" w:type="dxa"/>
        </w:tblCellMar>
      </w:tblPr>
      <w:tblGrid>
        <w:gridCol w:w="1906"/>
        <w:gridCol w:w="146"/>
        <w:gridCol w:w="3256"/>
        <w:gridCol w:w="146"/>
        <w:gridCol w:w="177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Date</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Alison E. Lewis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President, Chief Executive Officer and </w:t>
            </w:r>
          </w:p>
          <w:p>
            <w:pPr>
              <w:pStyle w:val="TableContents"/>
              <w:bidi w:val="0"/>
              <w:jc w:val="center"/>
              <w:rPr>
                <w:rFonts w:ascii="Times New Roman" w:hAnsi="Times New Roman"/>
                <w:color w:val="000000"/>
                <w:sz w:val="20"/>
              </w:rPr>
            </w:pPr>
            <w:r>
              <w:rPr>
                <w:rFonts w:ascii="Times New Roman" w:hAnsi="Times New Roman"/>
                <w:color w:val="000000"/>
                <w:sz w:val="20"/>
              </w:rPr>
              <w:t>Director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Alison E. Lewis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Lee A. Boyce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Financial Officer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Lee A. Boyce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 Ragusa</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Senior Vice President and</w:t>
            </w:r>
          </w:p>
          <w:p>
            <w:pPr>
              <w:pStyle w:val="TableContents"/>
              <w:bidi w:val="0"/>
              <w:jc w:val="center"/>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J. Ragusa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Dawn Zier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Dawn Zier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Neil Campbell</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Neil Campbell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Celeste A. Clark</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Celeste A. Clark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Shervin J. Korangy</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Shervin J. Korangy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B. Sims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B. Sims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Carlyn R. Taylor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14, 2026</w:t>
            </w:r>
          </w:p>
        </w:tc>
      </w:tr>
      <w:tr>
        <w:trPr/>
        <w:tc>
          <w:tcPr>
            <w:tcW w:w="1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Carlyn R. Taylor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bookmarkStart w:id="39" w:name="hain-ex21_1.htm"/>
      <w:bookmarkStart w:id="40" w:name="kshainex21_1"/>
      <w:bookmarkEnd w:id="39"/>
      <w:bookmarkEnd w:id="40"/>
      <w:r>
        <w:rPr>
          <w:rFonts w:ascii="Arial" w:hAnsi="Arial"/>
          <w:b/>
          <w:color w:val="000000"/>
          <w:sz w:val="18"/>
        </w:rPr>
        <w:t>Exhibit 21.1</w:t>
      </w:r>
      <w:r>
        <w:br w:type="page"/>
      </w:r>
    </w:p>
    <w:p>
      <w:pPr>
        <w:pStyle w:val="TextBody"/>
        <w:bidi w:val="0"/>
        <w:jc w:val="center"/>
        <w:rPr>
          <w:rFonts w:ascii="Arial" w:hAnsi="Arial"/>
          <w:color w:val="000000"/>
          <w:sz w:val="18"/>
        </w:rPr>
      </w:pPr>
      <w:r>
        <w:rPr>
          <w:rFonts w:ascii="Arial" w:hAnsi="Arial"/>
          <w:color w:val="000000"/>
          <w:sz w:val="18"/>
        </w:rPr>
        <w:t>Subsidiaries of the Registrant</w:t>
      </w:r>
    </w:p>
    <w:p>
      <w:pPr>
        <w:pStyle w:val="TextBody"/>
        <w:bidi w:val="0"/>
        <w:jc w:val="left"/>
        <w:rPr/>
      </w:pPr>
      <w:r>
        <w:rPr/>
        <w:t> </w:t>
      </w:r>
    </w:p>
    <w:tbl>
      <w:tblPr>
        <w:tblW w:w="6559" w:type="dxa"/>
        <w:jc w:val="left"/>
        <w:tblInd w:w="0" w:type="dxa"/>
        <w:tblLayout w:type="fixed"/>
        <w:tblCellMar>
          <w:top w:w="28" w:type="dxa"/>
          <w:left w:w="28" w:type="dxa"/>
          <w:bottom w:w="28" w:type="dxa"/>
          <w:right w:w="28" w:type="dxa"/>
        </w:tblCellMar>
      </w:tblPr>
      <w:tblGrid>
        <w:gridCol w:w="1482"/>
        <w:gridCol w:w="1343"/>
        <w:gridCol w:w="1347"/>
        <w:gridCol w:w="695"/>
        <w:gridCol w:w="695"/>
        <w:gridCol w:w="997"/>
      </w:tblGrid>
      <w:tr>
        <w:trPr/>
        <w:tc>
          <w:tcPr>
            <w:tcW w:w="1482"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482" w:type="dxa"/>
            <w:tcBorders/>
            <w:tcMar>
              <w:top w:w="0" w:type="dxa"/>
              <w:left w:w="0" w:type="dxa"/>
              <w:bottom w:w="0" w:type="dxa"/>
              <w:right w:w="0" w:type="dxa"/>
            </w:tcMar>
            <w:vAlign w:val="center"/>
          </w:tcPr>
          <w:p>
            <w:pPr>
              <w:pStyle w:val="TableContents"/>
              <w:bidi w:val="0"/>
              <w:spacing w:before="0" w:after="283"/>
              <w:jc w:val="left"/>
              <w:rPr/>
            </w:pPr>
            <w:r>
              <w:rPr/>
              <w:t> </w:t>
            </w:r>
          </w:p>
        </w:tc>
        <w:tc>
          <w:tcPr>
            <w:tcW w:w="1343" w:type="dxa"/>
            <w:tcBorders/>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u w:val="single"/>
              </w:rPr>
            </w:pPr>
            <w:r>
              <w:rPr>
                <w:rFonts w:ascii="Arial" w:hAnsi="Arial"/>
                <w:color w:val="000000"/>
                <w:sz w:val="18"/>
                <w:u w:val="single"/>
              </w:rPr>
              <w:t>Subsidiary</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u w:val="single"/>
              </w:rPr>
            </w:pPr>
            <w:r>
              <w:rPr>
                <w:rFonts w:ascii="Arial" w:hAnsi="Arial"/>
                <w:color w:val="000000"/>
                <w:sz w:val="18"/>
                <w:u w:val="single"/>
              </w:rPr>
              <w:t>Jurisdiction of Organization</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Acirca,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AMI HLDGS,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AMI Operating,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Texas</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Celestial Seasonings,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Charter Baking Company,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Cully &amp; Sully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Ireland</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Daily Bread Ltd.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Dana Alexander,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New York</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Daniels Chilled Foods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 Boles Nutritional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New York</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Ella’s Kitchen (Brands)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Ella’s Kitchen Group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Ella’s Kitchen,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Ella’s Kitchen (IP)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Epicurean Farms,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Farmhouse Fare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FORMATIO Beratungs- und Beteiligungs GmbH</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Austria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HCGI Holdings,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HCGI International Holdings,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HCGI U.S. Finance Co.,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HPPC I,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HPPC II,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HPPC Transportation,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Avalon Holdings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BluePrint,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Canada Holdings,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(C&amp;S)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Hain-Celestial Canada, ULC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Nova Scotia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DMCC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Dubai</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Europe B.V.</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Netherlands</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India Holdings,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India Private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India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Ireland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Ireland</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Jersey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Jersey</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Celestial UK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Foods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Frozen Foods UK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Gourmet,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Holding Cyprus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Cyprus</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Marketing,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Pure Food Co.,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California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 Refrigerated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Hain-Yves,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HCGI WN,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Health Valley Company</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KTB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Lima, - Natuurvoedingsbedrijf - Lima Manufacture</w:t>
              <w:br/>
              <w:t>D’Aliments Naturels BV</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Belgium</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Little Bear Organic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California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Mona Naturprodukte GmbH</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Austria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Mona Oberwart Produktions GmbH</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Austria</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Mona Sojaland GmbH</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Germany</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Natumi GmbH</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Germany</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Natural Nutrition Group,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New Oxford Foods,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nSpired Natural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PC Operating Co.,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Plainville Farms,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Proven Brands,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4172"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Queen Personal Care,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18"/>
        </w:rPr>
      </w:pPr>
      <w:r>
        <w:rPr>
          <w:rFonts w:ascii="Arial" w:hAnsi="Arial"/>
          <w:b/>
          <w:color w:val="000000"/>
          <w:sz w:val="18"/>
        </w:rPr>
        <w:t>Exhibit 21.1</w:t>
      </w:r>
    </w:p>
    <w:p>
      <w:pPr>
        <w:pStyle w:val="TextBody"/>
        <w:bidi w:val="0"/>
        <w:jc w:val="left"/>
        <w:rPr/>
      </w:pPr>
      <w:bookmarkStart w:id="41" w:name="bkmk_291"/>
      <w:bookmarkEnd w:id="41"/>
      <w:r>
        <w:rPr/>
        <w:t> </w:t>
      </w:r>
    </w:p>
    <w:tbl>
      <w:tblPr>
        <w:tblW w:w="5195" w:type="dxa"/>
        <w:jc w:val="left"/>
        <w:tblInd w:w="0" w:type="dxa"/>
        <w:tblLayout w:type="fixed"/>
        <w:tblCellMar>
          <w:top w:w="28" w:type="dxa"/>
          <w:left w:w="28" w:type="dxa"/>
          <w:bottom w:w="28" w:type="dxa"/>
          <w:right w:w="28" w:type="dxa"/>
        </w:tblCellMar>
      </w:tblPr>
      <w:tblGrid>
        <w:gridCol w:w="996"/>
        <w:gridCol w:w="905"/>
        <w:gridCol w:w="907"/>
        <w:gridCol w:w="695"/>
        <w:gridCol w:w="695"/>
        <w:gridCol w:w="997"/>
      </w:tblGrid>
      <w:tr>
        <w:trPr/>
        <w:tc>
          <w:tcPr>
            <w:tcW w:w="9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996" w:type="dxa"/>
            <w:tcBorders/>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u w:val="single"/>
              </w:rPr>
            </w:pPr>
            <w:r>
              <w:rPr>
                <w:rFonts w:ascii="Arial" w:hAnsi="Arial"/>
                <w:color w:val="000000"/>
                <w:sz w:val="18"/>
                <w:u w:val="single"/>
              </w:rPr>
              <w:t>Subsidiary</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u w:val="single"/>
              </w:rPr>
            </w:pPr>
            <w:r>
              <w:rPr>
                <w:rFonts w:ascii="Arial" w:hAnsi="Arial"/>
                <w:color w:val="000000"/>
                <w:sz w:val="18"/>
                <w:u w:val="single"/>
              </w:rPr>
              <w:t>Jurisdiction of Organization</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Rudi’s Organic Bakery,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S.Daniels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Spectrum Organic Products,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California</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TenderCare International,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Colorado</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That’s How We Roll LLC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Delaware</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The Hain Daniels Group Limited</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United Kingdom</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Westbrae Natural Foods,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California</w:t>
            </w:r>
          </w:p>
        </w:tc>
      </w:tr>
      <w:tr>
        <w:trPr/>
        <w:tc>
          <w:tcPr>
            <w:tcW w:w="280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Zia Cosmetics, Inc.</w:t>
            </w:r>
          </w:p>
        </w:tc>
        <w:tc>
          <w:tcPr>
            <w:tcW w:w="238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Arial" w:hAnsi="Arial"/>
                <w:color w:val="000000"/>
                <w:sz w:val="18"/>
              </w:rPr>
            </w:pPr>
            <w:r>
              <w:rPr>
                <w:rFonts w:ascii="Arial" w:hAnsi="Arial"/>
                <w:color w:val="000000"/>
                <w:sz w:val="18"/>
              </w:rPr>
              <w:t>California</w:t>
            </w:r>
          </w:p>
        </w:tc>
      </w:tr>
    </w:tbl>
    <w:p>
      <w:pPr>
        <w:pStyle w:val="TextBody"/>
        <w:bidi w:val="0"/>
        <w:spacing w:before="9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2" w:name="hain-ex23_1.htm"/>
      <w:bookmarkStart w:id="43" w:name="kshainex23_1"/>
      <w:bookmarkEnd w:id="42"/>
      <w:bookmarkEnd w:id="43"/>
      <w:r>
        <w:rPr/>
        <w:t> </w:t>
      </w:r>
      <w:r>
        <w:br w:type="page"/>
      </w:r>
    </w:p>
    <w:p>
      <w:pPr>
        <w:pStyle w:val="TextBody"/>
        <w:bidi w:val="0"/>
        <w:jc w:val="right"/>
        <w:rPr>
          <w:rFonts w:ascii="Times New Roman" w:hAnsi="Times New Roman"/>
          <w:b/>
          <w:color w:val="333333"/>
          <w:sz w:val="20"/>
        </w:rPr>
      </w:pPr>
      <w:r>
        <w:rPr>
          <w:rFonts w:ascii="Times New Roman" w:hAnsi="Times New Roman"/>
          <w:b/>
          <w:color w:val="333333"/>
          <w:sz w:val="20"/>
        </w:rPr>
        <w:t>Exhibit 23.1</w:t>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 of The Hain Celestial Group, Inc. and subsidiaries:</w:t>
      </w:r>
    </w:p>
    <w:p>
      <w:pPr>
        <w:pStyle w:val="TextBody"/>
        <w:bidi w:val="0"/>
        <w:jc w:val="both"/>
        <w:rPr/>
      </w:pPr>
      <w:r>
        <w:rPr/>
        <w:t> </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333-283060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333-268439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333-229739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333-228215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333-204460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333-196043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7.</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333-188542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8.</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333-180189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9.</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333-172734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10.</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333-166773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333-158357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333-140180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13.</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333-111881 on Form S-8</w:t>
      </w:r>
    </w:p>
    <w:p>
      <w:pPr>
        <w:pStyle w:val="TextBody"/>
        <w:bidi w:val="0"/>
        <w:spacing w:before="0" w:after="0"/>
        <w:jc w:val="both"/>
        <w:rPr>
          <w:rFonts w:ascii="Times New Roman" w:hAnsi="Times New Roman"/>
          <w:color w:val="333333"/>
          <w:sz w:val="20"/>
        </w:rPr>
      </w:pPr>
      <w:r>
        <w:rPr>
          <w:rFonts w:ascii="Times New Roman" w:hAnsi="Times New Roman"/>
          <w:color w:val="333333"/>
          <w:sz w:val="20"/>
        </w:rPr>
        <w:t>14.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Registration Statement Number 333-102017 on Form S-8</w:t>
      </w:r>
    </w:p>
    <w:p>
      <w:pPr>
        <w:pStyle w:val="TextBody"/>
        <w:bidi w:val="0"/>
        <w:spacing w:before="0" w:after="0"/>
        <w:jc w:val="left"/>
        <w:rPr>
          <w:rFonts w:ascii="Times New Roman" w:hAnsi="Times New Roman"/>
          <w:color w:val="333333"/>
          <w:sz w:val="20"/>
        </w:rPr>
      </w:pPr>
      <w:r>
        <w:rPr>
          <w:rFonts w:ascii="Times New Roman" w:hAnsi="Times New Roman"/>
          <w:color w:val="333333"/>
          <w:sz w:val="20"/>
        </w:rPr>
        <w:t>15.</w:t>
      </w:r>
    </w:p>
    <w:p>
      <w:pPr>
        <w:pStyle w:val="TextBody"/>
        <w:bidi w:val="0"/>
        <w:jc w:val="left"/>
        <w:rPr>
          <w:rFonts w:ascii="Times New Roman" w:hAnsi="Times New Roman"/>
          <w:color w:val="000000"/>
          <w:sz w:val="20"/>
        </w:rPr>
      </w:pPr>
      <w:r>
        <w:rPr>
          <w:rFonts w:ascii="Times New Roman" w:hAnsi="Times New Roman"/>
          <w:color w:val="000000"/>
          <w:sz w:val="20"/>
        </w:rPr>
        <w:t>Post-Effective Amendment No. 1 on Form S-8 to Registration Statement Number 333-33830 on Form S-4</w:t>
      </w:r>
    </w:p>
    <w:p>
      <w:pPr>
        <w:pStyle w:val="TextBody"/>
        <w:bidi w:val="0"/>
        <w:spacing w:before="0" w:after="16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of our reports dated September 14, 2026 with respect to the consolidated financial statements and schedule of The Hain Celestial Group, Inc. and subsidiaries and the effectiveness of internal control over financial reporting of The Hain Celestial Group, Inc. and subsidiaries included in this Annual Report (Form 10-K) for the year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Jericho, New York</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September 14, 2026</w:t>
      </w:r>
    </w:p>
    <w:p>
      <w:pPr>
        <w:pStyle w:val="HorizontalLine"/>
        <w:pBdr>
          <w:bottom w:val="double" w:sz="2" w:space="0" w:color="808080"/>
        </w:pBdr>
        <w:bidi w:val="0"/>
        <w:spacing w:before="0" w:after="283"/>
        <w:jc w:val="left"/>
        <w:rPr/>
      </w:pPr>
      <w:r>
        <w:rPr/>
      </w:r>
    </w:p>
    <w:p>
      <w:pPr>
        <w:pStyle w:val="TextBody"/>
        <w:bidi w:val="0"/>
        <w:spacing w:before="1" w:after="283"/>
        <w:jc w:val="left"/>
        <w:rPr/>
      </w:pPr>
      <w:bookmarkStart w:id="44" w:name="hain-ex31_1.htm"/>
      <w:bookmarkStart w:id="45" w:name="kshainex31_1"/>
      <w:bookmarkEnd w:id="44"/>
      <w:bookmarkEnd w:id="45"/>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31.1</w:t>
      </w:r>
    </w:p>
    <w:p>
      <w:pPr>
        <w:pStyle w:val="TextBody"/>
        <w:bidi w:val="0"/>
        <w:jc w:val="center"/>
        <w:rPr/>
      </w:pPr>
      <w:bookmarkStart w:id="46" w:name="bkmk_301"/>
      <w:bookmarkEnd w:id="46"/>
      <w:r>
        <w:rPr/>
        <w:t> </w:t>
      </w:r>
    </w:p>
    <w:p>
      <w:pPr>
        <w:pStyle w:val="TextBody"/>
        <w:bidi w:val="0"/>
        <w:jc w:val="center"/>
        <w:rPr>
          <w:rFonts w:ascii="Times New Roman" w:hAnsi="Times New Roman"/>
          <w:color w:val="000000"/>
          <w:sz w:val="18"/>
          <w:u w:val="single"/>
        </w:rPr>
      </w:pPr>
      <w:r>
        <w:rPr>
          <w:rFonts w:ascii="Times New Roman" w:hAnsi="Times New Roman"/>
          <w:color w:val="000000"/>
          <w:sz w:val="18"/>
          <w:u w:val="single"/>
        </w:rPr>
        <w:t>CERTIFICATION</w:t>
      </w:r>
    </w:p>
    <w:p>
      <w:pPr>
        <w:pStyle w:val="TextBody"/>
        <w:bidi w:val="0"/>
        <w:jc w:val="center"/>
        <w:rPr/>
      </w:pPr>
      <w:r>
        <w:rPr/>
        <w:t> </w:t>
      </w:r>
    </w:p>
    <w:p>
      <w:pPr>
        <w:pStyle w:val="TextBody"/>
        <w:bidi w:val="0"/>
        <w:jc w:val="both"/>
        <w:rPr>
          <w:rFonts w:ascii="Times New Roman" w:hAnsi="Times New Roman"/>
          <w:color w:val="000000"/>
          <w:sz w:val="18"/>
        </w:rPr>
      </w:pPr>
      <w:r>
        <w:rPr>
          <w:rFonts w:ascii="Times New Roman" w:hAnsi="Times New Roman"/>
          <w:color w:val="000000"/>
          <w:sz w:val="18"/>
        </w:rPr>
        <w:t>I, Alison E. Lewis, certify that: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1. I have reviewed this annual report on Form 10-K of The Hain Celestial Group, Inc.;</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Dated: September 14, 2026</w:t>
      </w:r>
    </w:p>
    <w:tbl>
      <w:tblPr>
        <w:tblW w:w="2867" w:type="dxa"/>
        <w:jc w:val="left"/>
        <w:tblInd w:w="0" w:type="dxa"/>
        <w:tblLayout w:type="fixed"/>
        <w:tblCellMar>
          <w:top w:w="28" w:type="dxa"/>
          <w:left w:w="28" w:type="dxa"/>
          <w:bottom w:w="28" w:type="dxa"/>
          <w:right w:w="28" w:type="dxa"/>
        </w:tblCellMar>
      </w:tblPr>
      <w:tblGrid>
        <w:gridCol w:w="893"/>
        <w:gridCol w:w="810"/>
        <w:gridCol w:w="1164"/>
      </w:tblGrid>
      <w:tr>
        <w:trPr/>
        <w:tc>
          <w:tcPr>
            <w:tcW w:w="89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893"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286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/s/ Alison E. Lewis</w:t>
            </w:r>
          </w:p>
        </w:tc>
      </w:tr>
      <w:tr>
        <w:trPr/>
        <w:tc>
          <w:tcPr>
            <w:tcW w:w="2867" w:type="dxa"/>
            <w:gridSpan w:val="3"/>
            <w:tcBorders>
              <w:top w:val="single" w:sz="7"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Alison E. Lewis</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President and Chief Executive Officer</w:t>
            </w:r>
          </w:p>
        </w:tc>
      </w:tr>
    </w:tbl>
    <w:p>
      <w:pPr>
        <w:pStyle w:val="TextBody"/>
        <w:bidi w:val="0"/>
        <w:spacing w:before="90" w:after="283"/>
        <w:jc w:val="left"/>
        <w:rPr/>
      </w:pPr>
      <w:r>
        <w:rPr/>
        <w:t> </w:t>
      </w:r>
    </w:p>
    <w:p>
      <w:pPr>
        <w:pStyle w:val="TextBody"/>
        <w:bidi w:val="0"/>
        <w:jc w:val="left"/>
        <w:rPr/>
      </w:pPr>
      <w:r>
        <w:rPr/>
        <w:t> </w:t>
      </w:r>
    </w:p>
    <w:p>
      <w:pPr>
        <w:pStyle w:val="TextBody"/>
        <w:bidi w:val="0"/>
        <w:jc w:val="left"/>
        <w:rPr/>
      </w:pPr>
      <w:bookmarkStart w:id="47" w:name="bkmk_302"/>
      <w:bookmarkStart w:id="48" w:name="bkmk_303"/>
      <w:bookmarkStart w:id="49" w:name="bkmk_304"/>
      <w:bookmarkEnd w:id="47"/>
      <w:bookmarkEnd w:id="48"/>
      <w:bookmarkEnd w:id="49"/>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50" w:name="hain-ex31_2.htm"/>
      <w:bookmarkStart w:id="51" w:name="kshainex31_2"/>
      <w:bookmarkEnd w:id="50"/>
      <w:bookmarkEnd w:id="51"/>
      <w:r>
        <w:rPr>
          <w:rFonts w:ascii="Times New Roman" w:hAnsi="Times New Roman"/>
          <w:b/>
          <w:color w:val="000000"/>
          <w:sz w:val="18"/>
        </w:rPr>
        <w:t>EXHIBIT 31.2</w:t>
      </w:r>
      <w:r>
        <w:br w:type="page"/>
      </w:r>
    </w:p>
    <w:p>
      <w:pPr>
        <w:pStyle w:val="TextBody"/>
        <w:bidi w:val="0"/>
        <w:jc w:val="center"/>
        <w:rPr/>
      </w:pPr>
      <w:bookmarkStart w:id="52" w:name="bkmk_306"/>
      <w:bookmarkEnd w:id="52"/>
      <w:r>
        <w:rPr/>
        <w:t> </w:t>
      </w:r>
    </w:p>
    <w:p>
      <w:pPr>
        <w:pStyle w:val="TextBody"/>
        <w:bidi w:val="0"/>
        <w:jc w:val="center"/>
        <w:rPr>
          <w:rFonts w:ascii="Times New Roman" w:hAnsi="Times New Roman"/>
          <w:color w:val="000000"/>
          <w:sz w:val="18"/>
          <w:u w:val="single"/>
        </w:rPr>
      </w:pPr>
      <w:r>
        <w:rPr>
          <w:rFonts w:ascii="Times New Roman" w:hAnsi="Times New Roman"/>
          <w:color w:val="000000"/>
          <w:sz w:val="18"/>
          <w:u w:val="single"/>
        </w:rPr>
        <w:t>CERTIFICATION</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 Lee A. Boyce, certify that: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1. I have reviewed this annual report on Form 10-K of The Hain Celestial Group, Inc.;</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rFonts w:ascii="Times New Roman" w:hAnsi="Times New Roman"/>
          <w:color w:val="000000"/>
          <w:sz w:val="18"/>
        </w:rPr>
      </w:pPr>
      <w:r>
        <w:rPr>
          <w:rFonts w:ascii="Times New Roman" w:hAnsi="Times New Roman"/>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rFonts w:ascii="Times New Roman" w:hAnsi="Times New Roman"/>
          <w:color w:val="000000"/>
          <w:sz w:val="18"/>
        </w:rPr>
      </w:pPr>
      <w:r>
        <w:rPr>
          <w:rFonts w:ascii="Times New Roman" w:hAnsi="Times New Roman"/>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Dated: September 14, 2026</w:t>
      </w:r>
    </w:p>
    <w:tbl>
      <w:tblPr>
        <w:tblW w:w="1818" w:type="dxa"/>
        <w:jc w:val="left"/>
        <w:tblInd w:w="0" w:type="dxa"/>
        <w:tblLayout w:type="fixed"/>
        <w:tblCellMar>
          <w:top w:w="28" w:type="dxa"/>
          <w:left w:w="28" w:type="dxa"/>
          <w:bottom w:w="28" w:type="dxa"/>
          <w:right w:w="28" w:type="dxa"/>
        </w:tblCellMar>
      </w:tblPr>
      <w:tblGrid>
        <w:gridCol w:w="565"/>
        <w:gridCol w:w="513"/>
        <w:gridCol w:w="740"/>
      </w:tblGrid>
      <w:tr>
        <w:trPr/>
        <w:tc>
          <w:tcPr>
            <w:tcW w:w="5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1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/s/ Lee A. Boyce</w:t>
            </w:r>
          </w:p>
        </w:tc>
      </w:tr>
      <w:tr>
        <w:trPr/>
        <w:tc>
          <w:tcPr>
            <w:tcW w:w="1818" w:type="dxa"/>
            <w:gridSpan w:val="3"/>
            <w:tcBorders>
              <w:top w:val="single" w:sz="7"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Lee A. Boyce</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spacing w:before="90" w:after="283"/>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53" w:name="hain-ex32_1.htm"/>
      <w:bookmarkStart w:id="54" w:name="kshainex32_1"/>
      <w:bookmarkEnd w:id="53"/>
      <w:bookmarkEnd w:id="54"/>
      <w:r>
        <w:rPr>
          <w:rFonts w:ascii="Times New Roman" w:hAnsi="Times New Roman"/>
          <w:b/>
          <w:color w:val="000000"/>
          <w:sz w:val="18"/>
        </w:rPr>
        <w:t>EXHIBIT 32.1</w:t>
      </w:r>
      <w:r>
        <w:br w:type="page"/>
      </w:r>
    </w:p>
    <w:p>
      <w:pPr>
        <w:pStyle w:val="TextBody"/>
        <w:bidi w:val="0"/>
        <w:jc w:val="center"/>
        <w:rPr/>
      </w:pPr>
      <w:bookmarkStart w:id="55" w:name="bkmk_311"/>
      <w:bookmarkEnd w:id="55"/>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FURNISHED</w:t>
      </w:r>
    </w:p>
    <w:p>
      <w:pPr>
        <w:pStyle w:val="TextBody"/>
        <w:bidi w:val="0"/>
        <w:jc w:val="center"/>
        <w:rPr>
          <w:rFonts w:ascii="Times New Roman" w:hAnsi="Times New Roman"/>
          <w:b/>
          <w:color w:val="000000"/>
          <w:sz w:val="18"/>
        </w:rPr>
      </w:pPr>
      <w:r>
        <w:rPr>
          <w:rFonts w:ascii="Times New Roman" w:hAnsi="Times New Roman"/>
          <w:b/>
          <w:color w:val="000000"/>
          <w:sz w:val="18"/>
        </w:rPr>
        <w:t>PURSUANT TO 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906</w:t>
      </w:r>
    </w:p>
    <w:p>
      <w:pPr>
        <w:pStyle w:val="TextBody"/>
        <w:bidi w:val="0"/>
        <w:jc w:val="center"/>
        <w:rPr>
          <w:rFonts w:ascii="Times New Roman" w:hAnsi="Times New Roman"/>
          <w:b/>
          <w:color w:val="000000"/>
          <w:sz w:val="18"/>
        </w:rPr>
      </w:pPr>
      <w:r>
        <w:rPr>
          <w:rFonts w:ascii="Times New Roman" w:hAnsi="Times New Roman"/>
          <w:b/>
          <w:color w:val="000000"/>
          <w:sz w:val="18"/>
        </w:rPr>
        <w:t>OF THE SARBANES-OXLEY ACT OF 2002</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 Alison E. Lewis, President and Chief Executive Officer of The Hain Celestial Group, Inc. (the “Company”), certify, pursuant to Section 906 of the Sarbanes-Oxley Act of 2002, 18 U.S.C. Section 1350, that to my knowledge: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The Annual Report on Form 10-K of the Company for the annual period ended June 30, 2026 (the “Report”) fully complies with the requirements of Section 13(a) of the Securities Exchange Act of 1934 (15 U.S.C. 78m); and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Dated: September 14, 2026</w:t>
      </w:r>
    </w:p>
    <w:tbl>
      <w:tblPr>
        <w:tblW w:w="2867" w:type="dxa"/>
        <w:jc w:val="left"/>
        <w:tblInd w:w="0" w:type="dxa"/>
        <w:tblLayout w:type="fixed"/>
        <w:tblCellMar>
          <w:top w:w="28" w:type="dxa"/>
          <w:left w:w="28" w:type="dxa"/>
          <w:bottom w:w="28" w:type="dxa"/>
          <w:right w:w="28" w:type="dxa"/>
        </w:tblCellMar>
      </w:tblPr>
      <w:tblGrid>
        <w:gridCol w:w="893"/>
        <w:gridCol w:w="810"/>
        <w:gridCol w:w="1164"/>
      </w:tblGrid>
      <w:tr>
        <w:trPr/>
        <w:tc>
          <w:tcPr>
            <w:tcW w:w="89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893" w:type="dxa"/>
            <w:tcBorders/>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2867"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/s/ Alison E. Lewis</w:t>
            </w:r>
          </w:p>
        </w:tc>
      </w:tr>
      <w:tr>
        <w:trPr/>
        <w:tc>
          <w:tcPr>
            <w:tcW w:w="2867" w:type="dxa"/>
            <w:gridSpan w:val="3"/>
            <w:tcBorders>
              <w:top w:val="single" w:sz="7"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Alison E. Lewis</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President and Chief Executive Officer</w:t>
            </w:r>
          </w:p>
        </w:tc>
      </w:tr>
    </w:tbl>
    <w:p>
      <w:pPr>
        <w:pStyle w:val="TextBody"/>
        <w:bidi w:val="0"/>
        <w:spacing w:before="108" w:after="283"/>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bookmarkStart w:id="56" w:name="bkmk_314"/>
      <w:bookmarkStart w:id="57" w:name="bkmk_312"/>
      <w:bookmarkStart w:id="58" w:name="bkmk_313"/>
      <w:bookmarkEnd w:id="56"/>
      <w:bookmarkEnd w:id="57"/>
      <w:bookmarkEnd w:id="58"/>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hain-ex32_2.htm"/>
      <w:bookmarkStart w:id="60" w:name="kshainex32_2"/>
      <w:bookmarkEnd w:id="59"/>
      <w:bookmarkEnd w:id="60"/>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jc w:val="center"/>
        <w:rPr/>
      </w:pPr>
      <w:bookmarkStart w:id="61" w:name="bkmk_316"/>
      <w:bookmarkEnd w:id="61"/>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FURNISHED</w:t>
      </w:r>
    </w:p>
    <w:p>
      <w:pPr>
        <w:pStyle w:val="TextBody"/>
        <w:bidi w:val="0"/>
        <w:jc w:val="center"/>
        <w:rPr>
          <w:rFonts w:ascii="Times New Roman" w:hAnsi="Times New Roman"/>
          <w:b/>
          <w:color w:val="000000"/>
          <w:sz w:val="18"/>
        </w:rPr>
      </w:pPr>
      <w:r>
        <w:rPr>
          <w:rFonts w:ascii="Times New Roman" w:hAnsi="Times New Roman"/>
          <w:b/>
          <w:color w:val="000000"/>
          <w:sz w:val="18"/>
        </w:rPr>
        <w:t>PURSUANT TO 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906</w:t>
      </w:r>
    </w:p>
    <w:p>
      <w:pPr>
        <w:pStyle w:val="TextBody"/>
        <w:bidi w:val="0"/>
        <w:jc w:val="center"/>
        <w:rPr>
          <w:rFonts w:ascii="Times New Roman" w:hAnsi="Times New Roman"/>
          <w:b/>
          <w:color w:val="000000"/>
          <w:sz w:val="18"/>
        </w:rPr>
      </w:pPr>
      <w:r>
        <w:rPr>
          <w:rFonts w:ascii="Times New Roman" w:hAnsi="Times New Roman"/>
          <w:b/>
          <w:color w:val="000000"/>
          <w:sz w:val="18"/>
        </w:rPr>
        <w:t>OF THE SARBANES-OXLEY ACT OF 2002</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I, Lee A. Boyce, Chief Financial Officer of The Hain Celestial Group, Inc. (the “Company”), certify, pursuant to Section 906 of the Sarbanes-Oxley Act of 2002, 18 U.S.C. Section 1350, that to my knowledge:</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The Annual Report on Form 10-K of the Company for the annual period ended June 30, 2026 (the “Report”) fully complies with the requirements of Section 13(a) of the Securities Exchange Act of 1934 (15 U.S.C. 78m); and</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Dated: September 14, 2026</w:t>
      </w:r>
    </w:p>
    <w:tbl>
      <w:tblPr>
        <w:tblW w:w="1818" w:type="dxa"/>
        <w:jc w:val="left"/>
        <w:tblInd w:w="0" w:type="dxa"/>
        <w:tblLayout w:type="fixed"/>
        <w:tblCellMar>
          <w:top w:w="28" w:type="dxa"/>
          <w:left w:w="28" w:type="dxa"/>
          <w:bottom w:w="28" w:type="dxa"/>
          <w:right w:w="28" w:type="dxa"/>
        </w:tblCellMar>
      </w:tblPr>
      <w:tblGrid>
        <w:gridCol w:w="565"/>
        <w:gridCol w:w="513"/>
        <w:gridCol w:w="740"/>
      </w:tblGrid>
      <w:tr>
        <w:trPr/>
        <w:tc>
          <w:tcPr>
            <w:tcW w:w="565"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565"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r>
      <w:tr>
        <w:trPr/>
        <w:tc>
          <w:tcPr>
            <w:tcW w:w="1818" w:type="dxa"/>
            <w:gridSpan w:val="3"/>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/s/ Lee A. Boyce</w:t>
            </w:r>
          </w:p>
        </w:tc>
      </w:tr>
      <w:tr>
        <w:trPr/>
        <w:tc>
          <w:tcPr>
            <w:tcW w:w="1818" w:type="dxa"/>
            <w:gridSpan w:val="3"/>
            <w:tcBorders>
              <w:top w:val="single" w:sz="7" w:space="0" w:color="000000"/>
            </w:tcBorders>
            <w:tcMar>
              <w:left w:w="0" w:type="dxa"/>
              <w:bottom w:w="0" w:type="dxa"/>
              <w:right w:w="0" w:type="dxa"/>
            </w:tcMar>
            <w:vAlign w:val="center"/>
          </w:tcPr>
          <w:p>
            <w:pPr>
              <w:pStyle w:val="TableContents"/>
              <w:bidi w:val="0"/>
              <w:ind w:left="0" w:right="0" w:firstLine="18"/>
              <w:jc w:val="left"/>
              <w:rPr>
                <w:rFonts w:ascii="Times New Roman" w:hAnsi="Times New Roman"/>
                <w:color w:val="000000"/>
                <w:sz w:val="18"/>
              </w:rPr>
            </w:pPr>
            <w:r>
              <w:rPr>
                <w:rFonts w:ascii="Times New Roman" w:hAnsi="Times New Roman"/>
                <w:color w:val="000000"/>
                <w:sz w:val="18"/>
              </w:rPr>
              <w:t>Lee A. Boyce</w:t>
            </w:r>
          </w:p>
          <w:p>
            <w:pPr>
              <w:pStyle w:val="TableContents"/>
              <w:bidi w:val="0"/>
              <w:spacing w:before="0" w:after="283"/>
              <w:ind w:left="0" w:right="0" w:firstLine="18"/>
              <w:jc w:val="left"/>
              <w:rPr>
                <w:rFonts w:ascii="Times New Roman" w:hAnsi="Times New Roman"/>
                <w:color w:val="000000"/>
                <w:sz w:val="18"/>
              </w:rPr>
            </w:pPr>
            <w:r>
              <w:rPr>
                <w:rFonts w:ascii="Times New Roman" w:hAnsi="Times New Roman"/>
                <w:color w:val="000000"/>
                <w:sz w:val="18"/>
              </w:rPr>
              <w:t>Chief Financial Officer</w:t>
            </w:r>
          </w:p>
        </w:tc>
      </w:tr>
    </w:tbl>
    <w:p>
      <w:pPr>
        <w:pStyle w:val="TextBody"/>
        <w:bidi w:val="0"/>
        <w:spacing w:before="90" w:after="283"/>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910406/000119312526032725/hain-ex2_1.htm" TargetMode="External"/><Relationship Id="rId4" Type="http://schemas.openxmlformats.org/officeDocument/2006/relationships/hyperlink" Target="https://www.sec.gov/Archives/edgar/data/910406/000119312526389814/hain-ex2_1.htm" TargetMode="External"/><Relationship Id="rId5" Type="http://schemas.openxmlformats.org/officeDocument/2006/relationships/hyperlink" Target="https://www.sec.gov/Archives/edgar/data/0000910406/000091040621000033/exh31-restatedcertificateo.htm" TargetMode="External"/><Relationship Id="rId6" Type="http://schemas.openxmlformats.org/officeDocument/2006/relationships/hyperlink" Target="https://www.sec.gov/Archives/edgar/data/910406/000095017025017025/hain-ex3_2.htm" TargetMode="External"/><Relationship Id="rId7" Type="http://schemas.openxmlformats.org/officeDocument/2006/relationships/hyperlink" Target="https://www.sec.gov/Archives/edgar/data/910406/0000912057-00-019377-index.html" TargetMode="External"/><Relationship Id="rId8" Type="http://schemas.openxmlformats.org/officeDocument/2006/relationships/hyperlink" Target="https://www.sec.gov/Archives/edgar/data/910406/000091040619000077/hain-63019xex42.htm" TargetMode="External"/><Relationship Id="rId9" Type="http://schemas.openxmlformats.org/officeDocument/2006/relationships/hyperlink" Target="https://www.sec.gov/Archives/edgar/data/0000910406/000119312521367938/d135642dex101.htm" TargetMode="External"/><Relationship Id="rId10" Type="http://schemas.openxmlformats.org/officeDocument/2006/relationships/hyperlink" Target="https://www.sec.gov/Archives/edgar/data/910406/000119312522309599/d423508dex101.htm" TargetMode="External"/><Relationship Id="rId11" Type="http://schemas.openxmlformats.org/officeDocument/2006/relationships/hyperlink" Target="https://www.sec.gov/Archives/edgar/data/910406/000091040623000114/exh101-secondamendmentto4t.htm" TargetMode="External"/><Relationship Id="rId12" Type="http://schemas.openxmlformats.org/officeDocument/2006/relationships/hyperlink" Target="https://www.sec.gov/Archives/edgar/data/910406/000119312525203534/hain-ex10_1-4.htm" TargetMode="External"/><Relationship Id="rId13" Type="http://schemas.openxmlformats.org/officeDocument/2006/relationships/hyperlink" Target="https://www.sec.gov/Archives/edgar/data/910406/000119312525203534/hain-ex10_1-5.htm" TargetMode="External"/><Relationship Id="rId14" Type="http://schemas.openxmlformats.org/officeDocument/2006/relationships/hyperlink" Target="https://www.sec.gov/Archives/edgar/data/0000910406/000119312521367938/d135642dex102.htm" TargetMode="External"/><Relationship Id="rId15" Type="http://schemas.openxmlformats.org/officeDocument/2006/relationships/hyperlink" Target="https://www.sec.gov/Archives/edgar/data/910406/000119312522287646/d421002dex101.htm" TargetMode="External"/><Relationship Id="rId16" Type="http://schemas.openxmlformats.org/officeDocument/2006/relationships/hyperlink" Target="https://www.sec.gov/Archives/edgar/data/910406/000095017024121438/hain-ex10_1.htm" TargetMode="External"/><Relationship Id="rId17" Type="http://schemas.openxmlformats.org/officeDocument/2006/relationships/hyperlink" Target="https://www.sec.gov/Archives/edgar/data/910406/000119312525265805/hain-ex10_1.htm" TargetMode="External"/><Relationship Id="rId18" Type="http://schemas.openxmlformats.org/officeDocument/2006/relationships/hyperlink" Target="https://www.sec.gov/Archives/edgar/data/910406/000119312526041911/hain-ex10_6.htm" TargetMode="External"/><Relationship Id="rId19" Type="http://schemas.openxmlformats.org/officeDocument/2006/relationships/hyperlink" Target="https://www.sec.gov/Archives/edgar/data/910406/000119312526041911/hain-ex10_7.htm" TargetMode="External"/><Relationship Id="rId20" Type="http://schemas.openxmlformats.org/officeDocument/2006/relationships/hyperlink" Target="https://www.sec.gov/Archives/edgar/data/910406/000119312526041911/hain-ex10_8.htm" TargetMode="External"/><Relationship Id="rId21" Type="http://schemas.openxmlformats.org/officeDocument/2006/relationships/hyperlink" Target="https://www.sec.gov/Archives/edgar/data/910406/000119312526041911/hain-ex10_2.htm" TargetMode="External"/><Relationship Id="rId22" Type="http://schemas.openxmlformats.org/officeDocument/2006/relationships/hyperlink" Target="https://www.sec.gov/Archives/edgar/data/910406/000119312526041911/hain-ex10_3.htm" TargetMode="External"/><Relationship Id="rId23" Type="http://schemas.openxmlformats.org/officeDocument/2006/relationships/hyperlink" Target="https://www.sec.gov/Archives/edgar/data/910406/000119312526041911/hain-ex10_4.htm" TargetMode="External"/><Relationship Id="rId24" Type="http://schemas.openxmlformats.org/officeDocument/2006/relationships/hyperlink" Target="https://www.sec.gov/Archives/edgar/data/910406/000119312526041911/hain-ex10_5.htm" TargetMode="External"/><Relationship Id="rId25" Type="http://schemas.openxmlformats.org/officeDocument/2006/relationships/hyperlink" Target="https://www.sec.gov/Archives/edgar/data/910406/000095017025017025/hain-ex10_2.htm" TargetMode="External"/><Relationship Id="rId26" Type="http://schemas.openxmlformats.org/officeDocument/2006/relationships/hyperlink" Target="https://www.sec.gov/Archives/edgar/data/910406/000095017025017025/hain-ex10_3.htm" TargetMode="External"/><Relationship Id="rId27" Type="http://schemas.openxmlformats.org/officeDocument/2006/relationships/hyperlink" Target="https://www.sec.gov/Archives/edgar/data/910406/000095017025017025/hain-ex10_4.htm" TargetMode="External"/><Relationship Id="rId28" Type="http://schemas.openxmlformats.org/officeDocument/2006/relationships/hyperlink" Target="https://www.sec.gov/Archives/edgar/data/910406/000095017025017025/hain-ex10_5.htm" TargetMode="External"/><Relationship Id="rId29" Type="http://schemas.openxmlformats.org/officeDocument/2006/relationships/hyperlink" Target="https://www.sec.gov/Archives/edgar/data/910406/000091040624000016/exh101-rsuagmt24x26ltip.htm" TargetMode="External"/><Relationship Id="rId30" Type="http://schemas.openxmlformats.org/officeDocument/2006/relationships/hyperlink" Target="https://www.sec.gov/Archives/edgar/data/910406/000091040624000016/exh103-psuagmtxrelativetsr.htm" TargetMode="External"/><Relationship Id="rId31" Type="http://schemas.openxmlformats.org/officeDocument/2006/relationships/hyperlink" Target="https://www.sec.gov/Archives/edgar/data/910406/000091040624000016/exh102-psuagmtxabsolutetsr.htm" TargetMode="External"/><Relationship Id="rId32" Type="http://schemas.openxmlformats.org/officeDocument/2006/relationships/hyperlink" Target="https://www.sec.gov/Archives/edgar/data/910406/000119312525203534/hain-ex10_2-15.htm" TargetMode="External"/><Relationship Id="rId33" Type="http://schemas.openxmlformats.org/officeDocument/2006/relationships/hyperlink" Target="https://www.sec.gov/Archives/edgar/data/910406/000091040619000077/hain-63019xex1021.htm" TargetMode="External"/><Relationship Id="rId34" Type="http://schemas.openxmlformats.org/officeDocument/2006/relationships/hyperlink" Target="https://www.sec.gov/Archives/edgar/data/910406/000091040622000081/exh101-rsuagmt23x25ltip.htm" TargetMode="External"/><Relationship Id="rId35" Type="http://schemas.openxmlformats.org/officeDocument/2006/relationships/hyperlink" Target="https://www.sec.gov/Archives/edgar/data/910406/000091040622000081/exh103-psuagmtxrelativetsr.htm" TargetMode="External"/><Relationship Id="rId36" Type="http://schemas.openxmlformats.org/officeDocument/2006/relationships/hyperlink" Target="https://www.sec.gov/Archives/edgar/data/910406/000091040622000081/exh102-psuagmtxabsolutetsr.htm" TargetMode="External"/><Relationship Id="rId37" Type="http://schemas.openxmlformats.org/officeDocument/2006/relationships/hyperlink" Target="https://www.sec.gov/Archives/edgar/data/910406/000119312526161777/hain-ex10_1.htm" TargetMode="External"/><Relationship Id="rId38" Type="http://schemas.openxmlformats.org/officeDocument/2006/relationships/hyperlink" Target="https://www.sec.gov/Archives/edgar/data/910406/000091040619000093/exhibit101aandrexecuti.htm" TargetMode="External"/><Relationship Id="rId39" Type="http://schemas.openxmlformats.org/officeDocument/2006/relationships/hyperlink" Target="https://www.sec.gov/Archives/edgar/data/910406/000119312525318435/hain-ex10_1.htm" TargetMode="External"/><Relationship Id="rId40" Type="http://schemas.openxmlformats.org/officeDocument/2006/relationships/hyperlink" Target="https://www.sec.gov/Archives/edgar/data/910406/000119312525318435/hain-ex10_2.htm" TargetMode="External"/><Relationship Id="rId41" Type="http://schemas.openxmlformats.org/officeDocument/2006/relationships/hyperlink" Target="https://www.sec.gov/Archives/edgar/data/910406/000119312525203534/hain-ex10_5.htm" TargetMode="External"/><Relationship Id="rId42" Type="http://schemas.openxmlformats.org/officeDocument/2006/relationships/hyperlink" Target="https://www.sec.gov/Archives/edgar/data/910406/000091040623000114/exh102-boyceofferletter.htm" TargetMode="External"/><Relationship Id="rId43" Type="http://schemas.openxmlformats.org/officeDocument/2006/relationships/hyperlink" Target="https://www.sec.gov/Archives/edgar/data/910406/000091040619000077/hain-63019xex1012.htm" TargetMode="External"/><Relationship Id="rId44" Type="http://schemas.openxmlformats.org/officeDocument/2006/relationships/hyperlink" Target="https://www.sec.gov/Archives/edgar/data/910406/000091040620000048/hain-331202010qxex101.htm" TargetMode="External"/><Relationship Id="rId45" Type="http://schemas.openxmlformats.org/officeDocument/2006/relationships/hyperlink" Target="https://www.sec.gov/Archives/edgar/data/910406/000091040619000056/hain-33119ex108.htm" TargetMode="External"/><Relationship Id="rId46" Type="http://schemas.openxmlformats.org/officeDocument/2006/relationships/hyperlink" Target="https://www.sec.gov/Archives/edgar/data/910406/000119312525203534/hain-ex19_1.htm" TargetMode="External"/><Relationship Id="rId47" Type="http://schemas.openxmlformats.org/officeDocument/2006/relationships/hyperlink" Target="https://www.sec.gov/Archives/edgar/data/910406/000095017024100992/hain-ex97_1.htm" TargetMode="External"/><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58821</Words>
  <Characters>328166</Characters>
  <CharactersWithSpaces>387902</CharactersWithSpaces>
  <Paragraphs>9981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