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hain-20261009.htm"/>
      <w:bookmarkStart w:id="1" w:name="kshain202610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HAIN CELESTIAL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0-22818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22-3240619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 River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Hoboken,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07030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(516)</w:t>
            </w:r>
            <w:r>
              <w:rPr>
                <w:rFonts w:ascii="Times New Roman" w:hAnsi="Times New Roman"/>
                <w:color w:val="000000"/>
                <w:sz w:val="20"/>
              </w:rPr>
              <w:t xml:space="preserve"> </w:t>
            </w:r>
            <w:r>
              <w:rPr>
                <w:rFonts w:ascii="Times New Roman" w:hAnsi="Times New Roman"/>
                <w:b/>
                <w:color w:val="000000"/>
                <w:sz w:val="20"/>
              </w:rPr>
              <w:t>587-5000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October 11, 2026, the Board of Directors (the “Board”) of The Hain Celestial Group, Inc. (“Hain Celestial” or the “Company”) appointed Patricia Ferrari and Richard Shinder as new directors, effective immediately. Ms. Ferrari was also appointed as a member of each of the Compensation Committee and Strategy Committee of the Board, and Mr. Shinder was also appointed as a member of each of the Audit Committee and Strategy Committee of the Board, each effective upon their appointment as a director.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Ms. Ferrari has served as an independent director for both public and private companies since 2023. Previously, she was a Managing Director at MBIA Inc. Prior to this, she practiced law for 22 years and served as one of the founding partners of the New York office of King &amp; Spalding. Ms. Ferrari currently serves as an independent director for Panolam Holdings, Outpatient Imaging Affiliates, QualDerm Partners and CityBridge. Ms. Ferrari holds a JD from Vanderbilt University School of Law and earned her undergraduate degree from Southern Illinois University.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Mr. Shinder is a Co-Founder and Partner at Ensis Partners. Mr. Shinder has served on the board of directors of several companies, including his current service as chairman of the board of Muth Mirror Systems and Il Mulino New York, among others. Mr. Shinder earned an MBA degree </w:t>
      </w:r>
      <w:r>
        <w:rPr>
          <w:rFonts w:ascii="Times New Roman" w:hAnsi="Times New Roman"/>
          <w:i/>
          <w:color w:val="000000"/>
          <w:sz w:val="20"/>
        </w:rPr>
        <w:t>with distinction</w:t>
      </w:r>
      <w:r>
        <w:rPr>
          <w:rFonts w:ascii="Times New Roman" w:hAnsi="Times New Roman"/>
          <w:color w:val="000000"/>
          <w:sz w:val="20"/>
        </w:rPr>
        <w:t xml:space="preserve"> from the Wharton School of the University of Pennsylvania and graduated </w:t>
      </w:r>
      <w:r>
        <w:rPr>
          <w:rFonts w:ascii="Times New Roman" w:hAnsi="Times New Roman"/>
          <w:i/>
          <w:color w:val="000000"/>
          <w:sz w:val="20"/>
        </w:rPr>
        <w:t>summa cum laude</w:t>
      </w:r>
      <w:r>
        <w:rPr>
          <w:rFonts w:ascii="Times New Roman" w:hAnsi="Times New Roman"/>
          <w:color w:val="000000"/>
          <w:sz w:val="20"/>
        </w:rPr>
        <w:t xml:space="preserve"> with a BBA from Gonzaga University.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is no arrangement or understanding between either Ms. Ferrari or Mr. Shinder and any other person pursuant to which either Ms. Ferrari or Mr. Shinder, as applicable, was selected as a director. There have been no transactions involving either Ms. Ferrari or Mr. Shinder that would be required to be disclosed by Item 404(a) of Regulation 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Governance Committee and the Board have determined that both Ms. Ferrari and Mr. Shinder are “independent” as defined by applicable rules of The Nasdaq Stock Market LLC and the U.S. Securities and Exchange Commission applicable to Board service.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their service as non-employee directors, each of Ms. Ferrari and Mr. Shinder entered into an engagement letter pursuant to which each will receive a monthly cash fee of $30,000. Each of Ms. Ferrari and Mr. Shinder also entered into the Company’s standard indemnification agreement for its non-employee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director appointments coincided with the resignations of Shervin J. Korangy and Carlyn R. Taylor from the Board, each of whom tendered their resignations on October 9, 2026, effective immediately. Mr. Korangy’s resignation was due to his recently announced appointment as chief executive officer of Fresenius Medical Care, a public company. Ms. Taylor’s resignation was due to the demands of her other professional commitments, including her role as chief executive officer and a member of the board of directors of Sirva. Mr. Korangy’s and Ms. Taylor’s decisions to resign were not the result of any disagreement with the Company on any matter relating to the Company’s operations, policies or practices.</w:t>
      </w:r>
    </w:p>
    <w:p>
      <w:pPr>
        <w:pStyle w:val="TextBody"/>
        <w:bidi w:val="0"/>
        <w:jc w:val="left"/>
        <w:rPr/>
      </w:pPr>
      <w:r>
        <w:rPr/>
        <w:t> </w:t>
      </w:r>
    </w:p>
    <w:p>
      <w:pPr>
        <w:pStyle w:val="TextBody"/>
        <w:bidi w:val="0"/>
        <w:jc w:val="left"/>
        <w:rPr/>
      </w:pPr>
      <w:r>
        <w:rPr/>
        <w:t> </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lineRule="auto" w:line="360"/>
        <w:jc w:val="left"/>
        <w:rPr>
          <w:rFonts w:ascii="Times New Roman" w:hAnsi="Times New Roman"/>
          <w:sz w:val="13"/>
        </w:rPr>
      </w:pPr>
      <w:r>
        <w:rPr>
          <w:rFonts w:ascii="Times New Roman" w:hAnsi="Times New Roman"/>
          <w:color w:val="000000"/>
          <w:sz w:val="20"/>
        </w:rPr>
        <w:t>As previously disclosed, on September 12, 2026, the Company, for itself and through certain of its wholly-owned subsidiaries (collectively, the “Sellers”), entered into a Share Purchase Agreement with entities (the “Purchasers”) affiliated with global private equity firm AURELIUS, pursuant to which, subject to the terms and conditions set forth therein, the Purchasers agreed to acquire from the Sellers (the “International Business Transaction”) the entities that operate Hain Celestial’s International business in the United Kingdom, Ireland and Europe, including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Closing of the International Business Transaction is subject to certain conditions, including the Company and its lenders entering into an amendment of the Company’s credit agreement by October 12, 2026. This condition was not satisfied; however, the Company has been engaged in discussions with AURELIUS and continues to pursue a path forward for completing the International Business Transaction. The Company also remains in discussions with its lenders regarding its capital structure and continues to evaluate and pursue all available paths. The Company intends to provide a further update when there are material developments to report.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64" w:type="dxa"/>
        <w:jc w:val="left"/>
        <w:tblInd w:w="0" w:type="dxa"/>
        <w:tblLayout w:type="fixed"/>
        <w:tblCellMar>
          <w:top w:w="28" w:type="dxa"/>
          <w:left w:w="28" w:type="dxa"/>
          <w:bottom w:w="28" w:type="dxa"/>
          <w:right w:w="28" w:type="dxa"/>
        </w:tblCellMar>
      </w:tblPr>
      <w:tblGrid>
        <w:gridCol w:w="556"/>
        <w:gridCol w:w="1516"/>
        <w:gridCol w:w="451"/>
        <w:gridCol w:w="354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THE HAIN CELESTIAL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Kristy M. Meringolo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Kristy M. Meringolo</w:t>
              <w:br/>
              <w:t>Chief Legal and Corporate Affairs Officer,</w:t>
              <w:br/>
              <w:t>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1081</Words>
  <Characters>5962</Characters>
  <CharactersWithSpaces>7042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