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38735</wp:posOffset>
            </wp:positionV>
            <wp:extent cx="2383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60960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30"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fiscal year ended June 30, 2025</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6"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9" w:lineRule="exact"/>
        <w:rPr>
          <w:sz w:val="24"/>
          <w:szCs w:val="24"/>
          <w:color w:val="auto"/>
        </w:rPr>
      </w:pPr>
    </w:p>
    <w:p>
      <w:pPr>
        <w:ind w:left="4080"/>
        <w:spacing w:after="0"/>
        <w:tabs>
          <w:tab w:leader="none" w:pos="6340" w:val="left"/>
          <w:tab w:leader="none" w:pos="712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r>
        <w:rPr>
          <w:sz w:val="20"/>
          <w:szCs w:val="20"/>
          <w:color w:val="auto"/>
        </w:rPr>
        <w:tab/>
      </w:r>
      <w:r>
        <w:rPr>
          <w:rFonts w:ascii="Times New Roman" w:cs="Times New Roman" w:eastAsia="Times New Roman" w:hAnsi="Times New Roman"/>
          <w:sz w:val="8"/>
          <w:szCs w:val="8"/>
          <w:b w:val="1"/>
          <w:bCs w:val="1"/>
          <w:color w:val="auto"/>
        </w:rPr>
        <w: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No. 0-22818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383155" cy="7029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HAIN CELESTIAL GROUP, INC.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27940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45"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600" w:type="dxa"/>
            <w:vAlign w:val="bottom"/>
          </w:tcPr>
          <w:p>
            <w:pPr>
              <w:jc w:val="center"/>
              <w:ind w:left="356"/>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680" w:type="dxa"/>
            <w:vAlign w:val="bottom"/>
          </w:tcPr>
          <w:p>
            <w:pPr>
              <w:spacing w:after="0"/>
              <w:rPr>
                <w:sz w:val="13"/>
                <w:szCs w:val="13"/>
                <w:color w:val="auto"/>
              </w:rPr>
            </w:pPr>
          </w:p>
        </w:tc>
        <w:tc>
          <w:tcPr>
            <w:tcW w:w="2580" w:type="dxa"/>
            <w:vAlign w:val="bottom"/>
          </w:tcPr>
          <w:p>
            <w:pPr>
              <w:jc w:val="right"/>
              <w:ind w:right="1216"/>
              <w:spacing w:after="0"/>
              <w:rPr>
                <w:sz w:val="20"/>
                <w:szCs w:val="20"/>
                <w:color w:val="auto"/>
              </w:rPr>
            </w:pPr>
            <w:r>
              <w:rPr>
                <w:rFonts w:ascii="Times New Roman" w:cs="Times New Roman" w:eastAsia="Times New Roman" w:hAnsi="Times New Roman"/>
                <w:sz w:val="14"/>
                <w:szCs w:val="14"/>
                <w:b w:val="1"/>
                <w:bCs w:val="1"/>
                <w:color w:val="auto"/>
              </w:rPr>
              <w:t>22-3240619</w:t>
            </w:r>
          </w:p>
        </w:tc>
      </w:tr>
      <w:tr>
        <w:trPr>
          <w:trHeight w:val="135"/>
        </w:trPr>
        <w:tc>
          <w:tcPr>
            <w:tcW w:w="2600" w:type="dxa"/>
            <w:vAlign w:val="bottom"/>
          </w:tcPr>
          <w:p>
            <w:pPr>
              <w:jc w:val="center"/>
              <w:ind w:left="336"/>
              <w:spacing w:after="0" w:line="135" w:lineRule="exact"/>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680" w:type="dxa"/>
            <w:vAlign w:val="bottom"/>
          </w:tcPr>
          <w:p>
            <w:pPr>
              <w:spacing w:after="0"/>
              <w:rPr>
                <w:sz w:val="11"/>
                <w:szCs w:val="11"/>
                <w:color w:val="auto"/>
              </w:rPr>
            </w:pPr>
          </w:p>
        </w:tc>
        <w:tc>
          <w:tcPr>
            <w:tcW w:w="2580" w:type="dxa"/>
            <w:vAlign w:val="bottom"/>
          </w:tcPr>
          <w:p>
            <w:pPr>
              <w:jc w:val="center"/>
              <w:ind w:right="61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60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680" w:type="dxa"/>
            <w:vAlign w:val="bottom"/>
          </w:tcPr>
          <w:p>
            <w:pPr>
              <w:spacing w:after="0"/>
              <w:rPr>
                <w:sz w:val="14"/>
                <w:szCs w:val="14"/>
                <w:color w:val="auto"/>
              </w:rPr>
            </w:pPr>
          </w:p>
        </w:tc>
        <w:tc>
          <w:tcPr>
            <w:tcW w:w="2580" w:type="dxa"/>
            <w:vAlign w:val="bottom"/>
          </w:tcPr>
          <w:p>
            <w:pPr>
              <w:jc w:val="center"/>
              <w:ind w:right="61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144"/>
        </w:trPr>
        <w:tc>
          <w:tcPr>
            <w:tcW w:w="2600" w:type="dxa"/>
            <w:vAlign w:val="bottom"/>
          </w:tcPr>
          <w:p>
            <w:pPr>
              <w:jc w:val="center"/>
              <w:ind w:left="336"/>
              <w:spacing w:after="0" w:line="144" w:lineRule="exact"/>
              <w:rPr>
                <w:sz w:val="20"/>
                <w:szCs w:val="20"/>
                <w:color w:val="auto"/>
              </w:rPr>
            </w:pPr>
            <w:r>
              <w:rPr>
                <w:rFonts w:ascii="Times New Roman" w:cs="Times New Roman" w:eastAsia="Times New Roman" w:hAnsi="Times New Roman"/>
                <w:sz w:val="13"/>
                <w:szCs w:val="13"/>
                <w:b w:val="1"/>
                <w:bCs w:val="1"/>
                <w:color w:val="auto"/>
                <w:w w:val="96"/>
              </w:rPr>
              <w:t>221 River Street, Hoboken, NJ</w:t>
            </w:r>
          </w:p>
        </w:tc>
        <w:tc>
          <w:tcPr>
            <w:tcW w:w="3680" w:type="dxa"/>
            <w:vAlign w:val="bottom"/>
          </w:tcPr>
          <w:p>
            <w:pPr>
              <w:spacing w:after="0"/>
              <w:rPr>
                <w:sz w:val="12"/>
                <w:szCs w:val="12"/>
                <w:color w:val="auto"/>
              </w:rPr>
            </w:pPr>
          </w:p>
        </w:tc>
        <w:tc>
          <w:tcPr>
            <w:tcW w:w="2580" w:type="dxa"/>
            <w:vAlign w:val="bottom"/>
          </w:tcPr>
          <w:p>
            <w:pPr>
              <w:jc w:val="right"/>
              <w:ind w:right="1396"/>
              <w:spacing w:after="0" w:line="144" w:lineRule="exact"/>
              <w:rPr>
                <w:sz w:val="20"/>
                <w:szCs w:val="20"/>
                <w:color w:val="auto"/>
              </w:rPr>
            </w:pPr>
            <w:r>
              <w:rPr>
                <w:rFonts w:ascii="Times New Roman" w:cs="Times New Roman" w:eastAsia="Times New Roman" w:hAnsi="Times New Roman"/>
                <w:sz w:val="13"/>
                <w:szCs w:val="13"/>
                <w:b w:val="1"/>
                <w:bCs w:val="1"/>
                <w:color w:val="auto"/>
              </w:rPr>
              <w:t>07030</w:t>
            </w:r>
          </w:p>
        </w:tc>
      </w:tr>
      <w:tr>
        <w:trPr>
          <w:trHeight w:val="166"/>
        </w:trPr>
        <w:tc>
          <w:tcPr>
            <w:tcW w:w="2600" w:type="dxa"/>
            <w:vAlign w:val="bottom"/>
          </w:tcPr>
          <w:p>
            <w:pPr>
              <w:jc w:val="center"/>
              <w:ind w:left="336"/>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680" w:type="dxa"/>
            <w:vAlign w:val="bottom"/>
          </w:tcPr>
          <w:p>
            <w:pPr>
              <w:spacing w:after="0"/>
              <w:rPr>
                <w:sz w:val="14"/>
                <w:szCs w:val="14"/>
                <w:color w:val="auto"/>
              </w:rPr>
            </w:pPr>
          </w:p>
        </w:tc>
        <w:tc>
          <w:tcPr>
            <w:tcW w:w="2580" w:type="dxa"/>
            <w:vAlign w:val="bottom"/>
          </w:tcPr>
          <w:p>
            <w:pPr>
              <w:jc w:val="center"/>
              <w:ind w:right="61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46"/>
        </w:trPr>
        <w:tc>
          <w:tcPr>
            <w:tcW w:w="2600" w:type="dxa"/>
            <w:vAlign w:val="bottom"/>
          </w:tcPr>
          <w:p>
            <w:pPr>
              <w:spacing w:after="0"/>
              <w:rPr>
                <w:sz w:val="12"/>
                <w:szCs w:val="12"/>
                <w:color w:val="auto"/>
              </w:rPr>
            </w:pPr>
          </w:p>
        </w:tc>
        <w:tc>
          <w:tcPr>
            <w:tcW w:w="368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3"/>
                <w:szCs w:val="13"/>
                <w:b w:val="1"/>
                <w:bCs w:val="1"/>
                <w:color w:val="auto"/>
                <w:w w:val="95"/>
              </w:rPr>
              <w:t>(516) 587-5000</w:t>
            </w:r>
          </w:p>
        </w:tc>
        <w:tc>
          <w:tcPr>
            <w:tcW w:w="2580" w:type="dxa"/>
            <w:vAlign w:val="bottom"/>
          </w:tcPr>
          <w:p>
            <w:pPr>
              <w:spacing w:after="0"/>
              <w:rPr>
                <w:sz w:val="12"/>
                <w:szCs w:val="12"/>
                <w:color w:val="auto"/>
              </w:rPr>
            </w:pPr>
          </w:p>
        </w:tc>
      </w:tr>
      <w:tr>
        <w:trPr>
          <w:trHeight w:val="164"/>
        </w:trPr>
        <w:tc>
          <w:tcPr>
            <w:tcW w:w="2600" w:type="dxa"/>
            <w:vAlign w:val="bottom"/>
          </w:tcPr>
          <w:p>
            <w:pPr>
              <w:spacing w:after="0"/>
              <w:rPr>
                <w:sz w:val="14"/>
                <w:szCs w:val="14"/>
                <w:color w:val="auto"/>
              </w:rPr>
            </w:pPr>
          </w:p>
        </w:tc>
        <w:tc>
          <w:tcPr>
            <w:tcW w:w="36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2580" w:type="dxa"/>
            <w:vAlign w:val="bottom"/>
          </w:tcPr>
          <w:p>
            <w:pPr>
              <w:spacing w:after="0"/>
              <w:rPr>
                <w:sz w:val="14"/>
                <w:szCs w:val="14"/>
                <w:color w:val="auto"/>
              </w:rPr>
            </w:pPr>
          </w:p>
        </w:tc>
      </w:tr>
      <w:tr>
        <w:trPr>
          <w:trHeight w:val="310"/>
        </w:trPr>
        <w:tc>
          <w:tcPr>
            <w:tcW w:w="2600" w:type="dxa"/>
            <w:vAlign w:val="bottom"/>
          </w:tcPr>
          <w:p>
            <w:pPr>
              <w:spacing w:after="0"/>
              <w:rPr>
                <w:sz w:val="24"/>
                <w:szCs w:val="24"/>
                <w:color w:val="auto"/>
              </w:rPr>
            </w:pPr>
          </w:p>
        </w:tc>
        <w:tc>
          <w:tcPr>
            <w:tcW w:w="368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12(b) of the Act:</w:t>
            </w:r>
          </w:p>
        </w:tc>
        <w:tc>
          <w:tcPr>
            <w:tcW w:w="2580" w:type="dxa"/>
            <w:vAlign w:val="bottom"/>
          </w:tcPr>
          <w:p>
            <w:pPr>
              <w:spacing w:after="0"/>
              <w:rPr>
                <w:sz w:val="24"/>
                <w:szCs w:val="24"/>
                <w:color w:val="auto"/>
              </w:rPr>
            </w:pPr>
          </w:p>
        </w:tc>
      </w:tr>
      <w:tr>
        <w:trPr>
          <w:trHeight w:val="308"/>
        </w:trPr>
        <w:tc>
          <w:tcPr>
            <w:tcW w:w="2600" w:type="dxa"/>
            <w:vAlign w:val="bottom"/>
          </w:tcPr>
          <w:p>
            <w:pPr>
              <w:jc w:val="center"/>
              <w:ind w:right="416"/>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68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580" w:type="dxa"/>
            <w:vAlign w:val="bottom"/>
          </w:tcPr>
          <w:p>
            <w:pPr>
              <w:jc w:val="center"/>
              <w:ind w:left="156"/>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 registered</w:t>
            </w:r>
          </w:p>
        </w:tc>
      </w:tr>
      <w:tr>
        <w:trPr>
          <w:trHeight w:val="164"/>
        </w:trPr>
        <w:tc>
          <w:tcPr>
            <w:tcW w:w="2600" w:type="dxa"/>
            <w:vAlign w:val="bottom"/>
          </w:tcPr>
          <w:p>
            <w:pPr>
              <w:jc w:val="center"/>
              <w:ind w:right="416"/>
              <w:spacing w:after="0"/>
              <w:rPr>
                <w:sz w:val="20"/>
                <w:szCs w:val="20"/>
                <w:color w:val="auto"/>
              </w:rPr>
            </w:pPr>
            <w:r>
              <w:rPr>
                <w:rFonts w:ascii="Times New Roman" w:cs="Times New Roman" w:eastAsia="Times New Roman" w:hAnsi="Times New Roman"/>
                <w:sz w:val="13"/>
                <w:szCs w:val="13"/>
                <w:color w:val="auto"/>
                <w:w w:val="96"/>
              </w:rPr>
              <w:t>Common Stock, par value $0.01 per share</w:t>
            </w:r>
          </w:p>
        </w:tc>
        <w:tc>
          <w:tcPr>
            <w:tcW w:w="368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auto"/>
                <w:w w:val="92"/>
              </w:rPr>
              <w:t>HAIN</w:t>
            </w:r>
          </w:p>
        </w:tc>
        <w:tc>
          <w:tcPr>
            <w:tcW w:w="2580" w:type="dxa"/>
            <w:vAlign w:val="bottom"/>
          </w:tcPr>
          <w:p>
            <w:pPr>
              <w:jc w:val="center"/>
              <w:ind w:left="156"/>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16"/>
        </w:trPr>
        <w:tc>
          <w:tcPr>
            <w:tcW w:w="2600" w:type="dxa"/>
            <w:vAlign w:val="bottom"/>
          </w:tcPr>
          <w:p>
            <w:pPr>
              <w:spacing w:after="0"/>
              <w:rPr>
                <w:sz w:val="18"/>
                <w:szCs w:val="18"/>
                <w:color w:val="auto"/>
              </w:rPr>
            </w:pPr>
          </w:p>
        </w:tc>
        <w:tc>
          <w:tcPr>
            <w:tcW w:w="3680" w:type="dxa"/>
            <w:vAlign w:val="bottom"/>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7"/>
              </w:rPr>
              <w:t>Securities registered pursuant to Section 12(g) of the Act: None</w:t>
            </w:r>
          </w:p>
        </w:tc>
        <w:tc>
          <w:tcPr>
            <w:tcW w:w="25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53340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 well-known seasoned issuer, as defined in Rule 405 of the Securities Act.</w:t>
      </w:r>
    </w:p>
    <w:p>
      <w:pPr>
        <w:spacing w:after="0" w:line="12" w:lineRule="exact"/>
        <w:rPr>
          <w:sz w:val="24"/>
          <w:szCs w:val="24"/>
          <w:color w:val="auto"/>
        </w:rPr>
      </w:pPr>
    </w:p>
    <w:p>
      <w:pPr>
        <w:ind w:left="10460"/>
        <w:spacing w:after="0" w:line="138" w:lineRule="exact"/>
        <w:tabs>
          <w:tab w:leader="none" w:pos="1092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w:t>
      </w:r>
    </w:p>
    <w:p>
      <w:pPr>
        <w:spacing w:after="0" w:line="4" w:lineRule="exact"/>
        <w:rPr>
          <w:sz w:val="24"/>
          <w:szCs w:val="24"/>
          <w:color w:val="auto"/>
        </w:rPr>
      </w:pPr>
    </w:p>
    <w:p>
      <w:pPr>
        <w:ind w:left="1056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460"/>
        <w:spacing w:after="0" w:line="138" w:lineRule="exact"/>
        <w:tabs>
          <w:tab w:leader="none" w:pos="1092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63"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1" w:lineRule="exact"/>
        <w:rPr>
          <w:sz w:val="24"/>
          <w:szCs w:val="24"/>
          <w:color w:val="auto"/>
        </w:rPr>
      </w:pPr>
    </w:p>
    <w:p>
      <w:pPr>
        <w:ind w:left="10460"/>
        <w:spacing w:after="0" w:line="138" w:lineRule="exact"/>
        <w:tabs>
          <w:tab w:leader="none" w:pos="10920" w:val="left"/>
        </w:tabs>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49"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400" w:type="dxa"/>
        <w:tblCellMar>
          <w:top w:w="0" w:type="dxa"/>
          <w:left w:w="0" w:type="dxa"/>
          <w:bottom w:w="0" w:type="dxa"/>
          <w:right w:w="0" w:type="dxa"/>
        </w:tblCellMar>
      </w:tblPr>
      <w:tr>
        <w:trPr>
          <w:trHeight w:val="175"/>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520" w:type="dxa"/>
            <w:vAlign w:val="bottom"/>
          </w:tcPr>
          <w:p>
            <w:pPr>
              <w:ind w:left="14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Accelerated filer</w:t>
            </w:r>
          </w:p>
        </w:tc>
        <w:tc>
          <w:tcPr>
            <w:tcW w:w="1480" w:type="dxa"/>
            <w:vAlign w:val="bottom"/>
          </w:tcPr>
          <w:p>
            <w:pPr>
              <w:ind w:left="1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75"/>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520" w:type="dxa"/>
            <w:vAlign w:val="bottom"/>
          </w:tcPr>
          <w:p>
            <w:pPr>
              <w:ind w:left="14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480" w:type="dxa"/>
            <w:vAlign w:val="bottom"/>
          </w:tcPr>
          <w:p>
            <w:pPr>
              <w:ind w:left="13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6"/>
        </w:trPr>
        <w:tc>
          <w:tcPr>
            <w:tcW w:w="270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2520" w:type="dxa"/>
            <w:vAlign w:val="bottom"/>
          </w:tcPr>
          <w:p>
            <w:pPr>
              <w:ind w:left="1420"/>
              <w:spacing w:after="0" w:line="121" w:lineRule="exact"/>
              <w:rPr>
                <w:sz w:val="20"/>
                <w:szCs w:val="20"/>
                <w:color w:val="auto"/>
              </w:rPr>
            </w:pPr>
            <w:r>
              <w:rPr>
                <w:rFonts w:ascii="MS PGothic" w:cs="MS PGothic" w:eastAsia="MS PGothic" w:hAnsi="MS PGothic"/>
                <w:sz w:val="12"/>
                <w:szCs w:val="12"/>
                <w:color w:val="auto"/>
              </w:rPr>
              <w:t>☐</w:t>
            </w:r>
          </w:p>
        </w:tc>
        <w:tc>
          <w:tcPr>
            <w:tcW w:w="364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5" w:lineRule="exact"/>
        <w:rPr>
          <w:sz w:val="24"/>
          <w:szCs w:val="24"/>
          <w:color w:val="auto"/>
        </w:rPr>
      </w:pPr>
    </w:p>
    <w:p>
      <w:pPr>
        <w:spacing w:after="0" w:line="153"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6" w:lineRule="exact"/>
        <w:rPr>
          <w:sz w:val="24"/>
          <w:szCs w:val="24"/>
          <w:color w:val="auto"/>
        </w:rPr>
      </w:pPr>
    </w:p>
    <w:p>
      <w:pPr>
        <w:spacing w:after="0" w:line="15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41" w:lineRule="exact"/>
        <w:rPr>
          <w:sz w:val="24"/>
          <w:szCs w:val="24"/>
          <w:color w:val="auto"/>
        </w:rPr>
      </w:pPr>
    </w:p>
    <w:p>
      <w:pPr>
        <w:spacing w:after="0" w:line="153"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38" w:lineRule="exact"/>
        <w:tabs>
          <w:tab w:leader="none" w:pos="5080" w:val="left"/>
          <w:tab w:leader="none" w:pos="5540" w:val="left"/>
        </w:tabs>
        <w:rPr>
          <w:sz w:val="20"/>
          <w:szCs w:val="20"/>
          <w:color w:val="auto"/>
        </w:rPr>
      </w:pPr>
      <w:r>
        <w:rPr>
          <w:rFonts w:ascii="Times New Roman" w:cs="Times New Roman" w:eastAsia="Times New Roman" w:hAnsi="Times New Roman"/>
          <w:sz w:val="12"/>
          <w:szCs w:val="12"/>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205" w:lineRule="exact"/>
        <w:rPr>
          <w:sz w:val="24"/>
          <w:szCs w:val="24"/>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The aggregate market value of the voting and non-voting common equity held by non-affiliates of the registrant based upon the closing price of the registrant’s common stock, as quoted by The Nasdaq Stock Market LLC on December 31, 2024, the last business day of the registrant’s most recently completed second fiscal quarter, was $552,228,088.</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September 9, 2025, there were 90,292,752 shares outstanding of the registrant’s Common Stock, par value $0.01 per share.</w:t>
      </w:r>
    </w:p>
    <w:p>
      <w:pPr>
        <w:spacing w:after="0" w:line="21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2"/>
          <w:szCs w:val="12"/>
          <w:color w:val="auto"/>
        </w:rPr>
        <w:t>DOCUMENTS INCORPORATED BY REFERENCE</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Portions of The Hain Celestial Group, Inc. Definitive Proxy Statement for the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20" w:type="dxa"/>
            <w:vAlign w:val="bottom"/>
            <w:gridSpan w:val="1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THE HAIN CELESTIAL GROUP, INC.</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20" w:type="dxa"/>
            <w:vAlign w:val="bottom"/>
            <w:gridSpan w:val="9"/>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Business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7940" w:type="dxa"/>
            <w:vAlign w:val="bottom"/>
            <w:gridSpan w:val="20"/>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6820" w:type="dxa"/>
            <w:vAlign w:val="bottom"/>
            <w:gridSpan w:val="1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7860" w:type="dxa"/>
            <w:vAlign w:val="bottom"/>
            <w:gridSpan w:val="19"/>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20" w:type="dxa"/>
            <w:vAlign w:val="bottom"/>
            <w:tcBorders>
              <w:bottom w:val="single" w:sz="8" w:color="0000EE"/>
            </w:tcBorders>
          </w:tcPr>
          <w:p>
            <w:pPr>
              <w:spacing w:after="0"/>
              <w:rPr>
                <w:sz w:val="17"/>
                <w:szCs w:val="17"/>
                <w:color w:val="auto"/>
              </w:rPr>
            </w:pPr>
          </w:p>
        </w:tc>
        <w:tc>
          <w:tcPr>
            <w:tcW w:w="8120" w:type="dxa"/>
            <w:vAlign w:val="bottom"/>
            <w:gridSpan w:val="24"/>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FF"/>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1"/>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80" w:type="dxa"/>
            <w:vAlign w:val="bottom"/>
            <w:tcBorders>
              <w:bottom w:val="single" w:sz="8" w:color="0000FF"/>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400" w:type="dxa"/>
            <w:vAlign w:val="bottom"/>
            <w:gridSpan w:val="4"/>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520" w:type="dxa"/>
            <w:vAlign w:val="bottom"/>
            <w:gridSpan w:val="7"/>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3"/>
          </w:tcPr>
          <w:p>
            <w:pPr>
              <w:spacing w:after="0"/>
              <w:rPr>
                <w:sz w:val="17"/>
                <w:szCs w:val="17"/>
                <w:color w:val="auto"/>
              </w:rPr>
            </w:pPr>
          </w:p>
        </w:tc>
        <w:tc>
          <w:tcPr>
            <w:tcW w:w="2360" w:type="dxa"/>
            <w:vAlign w:val="bottom"/>
            <w:gridSpan w:val="3"/>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III</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10.</w:t>
            </w:r>
          </w:p>
        </w:tc>
        <w:tc>
          <w:tcPr>
            <w:tcW w:w="8880" w:type="dxa"/>
            <w:vAlign w:val="bottom"/>
            <w:gridSpan w:val="27"/>
          </w:tcPr>
          <w:p>
            <w:pPr>
              <w:ind w:left="2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6"/>
          </w:tcPr>
          <w:p>
            <w:pPr>
              <w:spacing w:after="0"/>
              <w:rPr>
                <w:sz w:val="17"/>
                <w:szCs w:val="17"/>
                <w:color w:val="auto"/>
              </w:rPr>
            </w:pPr>
          </w:p>
        </w:tc>
        <w:tc>
          <w:tcPr>
            <w:tcW w:w="4780" w:type="dxa"/>
            <w:vAlign w:val="bottom"/>
            <w:gridSpan w:val="8"/>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580" w:type="dxa"/>
            <w:vAlign w:val="bottom"/>
            <w:gridSpan w:val="2"/>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tcBorders>
              <w:top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420" w:type="dxa"/>
            <w:vAlign w:val="bottom"/>
            <w:gridSpan w:val="5"/>
          </w:tcPr>
          <w:p>
            <w:pPr>
              <w:spacing w:after="0"/>
              <w:rPr>
                <w:sz w:val="17"/>
                <w:szCs w:val="17"/>
                <w:color w:val="auto"/>
              </w:rPr>
            </w:pP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97</w:t>
            </w:r>
          </w:p>
        </w:tc>
      </w:tr>
      <w:tr>
        <w:trPr>
          <w:trHeight w:val="453"/>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 IV</w:t>
            </w: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91"/>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Exhibit and Financial Statement Schedules</w:t>
            </w:r>
          </w:p>
        </w:tc>
        <w:tc>
          <w:tcPr>
            <w:tcW w:w="5780" w:type="dxa"/>
            <w:vAlign w:val="bottom"/>
            <w:gridSpan w:val="11"/>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196"/>
        </w:trPr>
        <w:tc>
          <w:tcPr>
            <w:tcW w:w="12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8880" w:type="dxa"/>
            <w:vAlign w:val="bottom"/>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412"/>
        </w:trPr>
        <w:tc>
          <w:tcPr>
            <w:tcW w:w="10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24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12"/>
        </w:trPr>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750"/>
        </w:trPr>
        <w:tc>
          <w:tcPr>
            <w:tcW w:w="7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21"/>
          </w:tcPr>
          <w:p>
            <w:pPr>
              <w:jc w:val="center"/>
              <w:ind w:left="3770"/>
              <w:spacing w:after="0"/>
              <w:rPr>
                <w:sz w:val="20"/>
                <w:szCs w:val="20"/>
                <w:color w:val="auto"/>
              </w:rPr>
            </w:pPr>
            <w:r>
              <w:rPr>
                <w:rFonts w:ascii="Times New Roman" w:cs="Times New Roman" w:eastAsia="Times New Roman" w:hAnsi="Times New Roman"/>
                <w:sz w:val="18"/>
                <w:szCs w:val="18"/>
                <w:color w:val="auto"/>
                <w:w w:val="88"/>
              </w:rPr>
              <w:t>2</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71"/>
        </w:trPr>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for the fiscal year ended June 30, 2025 (the “Form 10-K”) contains forward-looking statements within the meaning of the safe harbor provisions of the Private Securities Litigation Reform Act of 1995. Such statements involve risks, uncertainties and assumptions. If the risks or uncertainties ever materialize or the assumptions prove incorrect, the results of The Hain Celestial Group, Inc. (collectively with its subsidiaries, the “Company,” “Hain Celestial,” “we,” “us” or “our”) may differ materially from those expressed or implied by such forward-looking statements. The words “believe,” “expect,” “anticipate,” “may,” “should,” “plan,” “intend,” “potential,” “will” and similar expressions are intended to identify such forward-looking statements. Forward-looking statements include, among other things: our beliefs or expectations relating to our future performance, results of operations and financial condition; our strategic initiatives and business strategy, including statements related to our personal care business; our supply chain, including the impact of tariffs and the availability and pricing of raw materials; our brand portfolio; pricing actions and product performance; inflation rates; and current or future macroeconomic trends.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Risks and uncertainties that may cause actual results to differ materially from forward-looking statements include: challenges and uncertainty resulting from the impact of competition; changes to consumer preferences; our ability to execute our business strategy; our ability to manage our supply chain effectively; input cost inflation, including as a result of tariffs; reliance on independent contract manufacturers; disruption of operations at our manufacturing facilities; customer concentration; reliance on independent distributors; risks associated with operating internationally; risks associated with outsourcing arrangements; risks associated with geopolitical conflicts or events; our reliance on independent certification for a number of our products; our ability to attract and retain highly skilled people; risks related to tax matters; compliance with our credit agreement and our ability to refinance our indebtedness; foreign currency exchange risk; general economic conditions; impairments in the carrying value of goodwill or other intangible assets; the reputation of our company and our brands; our ability to use and protect trademarks; cybersecurity incidents; disruptions to information technology systems; pending and future litigation, including litigation relating to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potential liability if our products cause illness or physical harm; the highly regulated environment in which we operate; our ability to manage our financial reporting and internal control systems and processes; compliance with data privacy laws; the adequacy of our insurance coverage; climate impacts; liabilities, claims or regulatory change with respect to environmental matters; and other risks and matters described in Part I, Item 1A, “Risk Factors” and elsewhere in this Form 10-K as well as in other reports that we file in the future.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forward-looking statements to reflect actual results or changes in assumptions or circumstances, except as required by applicable law.</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HAIN CELESTIAL GROUP,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baby/kids, beverages and meal preparation are marketed and sold in over 70 countries around the world.</w:t>
      </w:r>
    </w:p>
    <w:p>
      <w:pPr>
        <w:spacing w:after="0" w:line="15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Company’s leading brands include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 The Board is considering a broad range of strategic options to enhance value. Also, in the third quarter of fiscal year 2025, we announced that we were exploring strategic alternatives regarding our personal care business to focus on our portfolio of better-for-you food and beverages.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we had approximately 2,600 employees, with 43% located in North America and 57% located outside of North America. Substantially all of our employees are full-time, permanent employees.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and its committees provide oversight of our policies and strategies related to talent management and culture, including employee engagement, workplace health and safety, and communication programs. Our employees are critical to our success. The following programs, initiatives and principles encompass some of the human capital objectives and measures that we focus on in managing our business and in seeking to attract and retain a talented workforce.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Purpose, Mission and Values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guided by our Purpose, Mission and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Purpose:</w:t>
            </w:r>
          </w:p>
        </w:tc>
        <w:tc>
          <w:tcPr>
            <w:tcW w:w="9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inspire healthier living for people, communities and the planet through better-for-you brands</w:t>
            </w:r>
          </w:p>
        </w:tc>
      </w:tr>
      <w:tr>
        <w:trPr>
          <w:trHeight w:val="373"/>
        </w:trPr>
        <w:tc>
          <w:tcPr>
            <w:tcW w:w="1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Mission:</w:t>
            </w:r>
          </w:p>
        </w:tc>
        <w:tc>
          <w:tcPr>
            <w:tcW w:w="9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build purpose-driven brands that make healthier living more attainable by empowering our people, engaging our partners, and</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living our values</w:t>
            </w:r>
          </w:p>
        </w:tc>
        <w:tc>
          <w:tcPr>
            <w:tcW w:w="9620" w:type="dxa"/>
            <w:vAlign w:val="bottom"/>
          </w:tcPr>
          <w:p>
            <w:pPr>
              <w:spacing w:after="0"/>
              <w:rPr>
                <w:sz w:val="20"/>
                <w:szCs w:val="20"/>
                <w:color w:val="auto"/>
              </w:rPr>
            </w:pPr>
          </w:p>
        </w:tc>
      </w:tr>
      <w:tr>
        <w:trPr>
          <w:trHeight w:val="405"/>
        </w:trPr>
        <w:tc>
          <w:tcPr>
            <w:tcW w:w="16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Values:</w:t>
            </w:r>
          </w:p>
        </w:tc>
        <w:tc>
          <w:tcPr>
            <w:tcW w:w="9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 Be curious, (2) Foster inclusion, (3) Own it and (4) Win together</w:t>
            </w:r>
          </w:p>
        </w:tc>
      </w:tr>
      <w:tr>
        <w:trPr>
          <w:trHeight w:val="513"/>
        </w:trPr>
        <w:tc>
          <w:tcPr>
            <w:tcW w:w="1620" w:type="dxa"/>
            <w:vAlign w:val="bottom"/>
          </w:tcPr>
          <w:p>
            <w:pPr>
              <w:spacing w:after="0"/>
              <w:rPr>
                <w:sz w:val="24"/>
                <w:szCs w:val="24"/>
                <w:color w:val="auto"/>
              </w:rPr>
            </w:pPr>
          </w:p>
        </w:tc>
        <w:tc>
          <w:tcPr>
            <w:tcW w:w="9620" w:type="dxa"/>
            <w:vAlign w:val="bottom"/>
          </w:tcPr>
          <w:p>
            <w:pPr>
              <w:jc w:val="right"/>
              <w:ind w:right="5490"/>
              <w:spacing w:after="0"/>
              <w:rPr>
                <w:sz w:val="20"/>
                <w:szCs w:val="20"/>
                <w:color w:val="auto"/>
              </w:rPr>
            </w:pPr>
            <w:r>
              <w:rPr>
                <w:rFonts w:ascii="Times New Roman" w:cs="Times New Roman" w:eastAsia="Times New Roman" w:hAnsi="Times New Roman"/>
                <w:sz w:val="18"/>
                <w:szCs w:val="18"/>
                <w:color w:val="auto"/>
              </w:rPr>
              <w:t>4</w:t>
            </w:r>
          </w:p>
        </w:tc>
      </w:tr>
      <w:tr>
        <w:trPr>
          <w:trHeight w:val="358"/>
        </w:trPr>
        <w:tc>
          <w:tcPr>
            <w:tcW w:w="1620" w:type="dxa"/>
            <w:vAlign w:val="bottom"/>
            <w:tcBorders>
              <w:bottom w:val="single" w:sz="8" w:color="9A9A9A"/>
            </w:tcBorders>
          </w:tcPr>
          <w:p>
            <w:pPr>
              <w:spacing w:after="0"/>
              <w:rPr>
                <w:sz w:val="24"/>
                <w:szCs w:val="24"/>
                <w:color w:val="auto"/>
              </w:rPr>
            </w:pPr>
          </w:p>
        </w:tc>
        <w:tc>
          <w:tcPr>
            <w:tcW w:w="9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Global Workforce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People have always been our greatest asset. They are the very heart of our Company, and we believe everyone should feel encouraged, respected and welcomed in our workplace.</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We make certain workforce demographic data available at </w:t>
      </w:r>
      <w:r>
        <w:rPr>
          <w:rFonts w:ascii="Times New Roman" w:cs="Times New Roman" w:eastAsia="Times New Roman" w:hAnsi="Times New Roman"/>
          <w:sz w:val="18"/>
          <w:szCs w:val="18"/>
          <w:i w:val="1"/>
          <w:iCs w:val="1"/>
          <w:color w:val="auto"/>
        </w:rPr>
        <w:t>hain.com/impact</w:t>
      </w:r>
      <w:r>
        <w:rPr>
          <w:rFonts w:ascii="Times New Roman" w:cs="Times New Roman" w:eastAsia="Times New Roman" w:hAnsi="Times New Roman"/>
          <w:sz w:val="18"/>
          <w:szCs w:val="18"/>
          <w:color w:val="auto"/>
        </w:rPr>
        <w:t xml:space="preserve">. The information available at </w:t>
      </w:r>
      <w:r>
        <w:rPr>
          <w:rFonts w:ascii="Times New Roman" w:cs="Times New Roman" w:eastAsia="Times New Roman" w:hAnsi="Times New Roman"/>
          <w:sz w:val="18"/>
          <w:szCs w:val="18"/>
          <w:i w:val="1"/>
          <w:iCs w:val="1"/>
          <w:color w:val="auto"/>
        </w:rPr>
        <w:t>hain.com/impact</w:t>
      </w:r>
      <w:r>
        <w:rPr>
          <w:rFonts w:ascii="Times New Roman" w:cs="Times New Roman" w:eastAsia="Times New Roman" w:hAnsi="Times New Roman"/>
          <w:sz w:val="18"/>
          <w:szCs w:val="18"/>
          <w:color w:val="auto"/>
        </w:rPr>
        <w:t xml:space="preserve"> is not a part of this Form 10-K or incorporated into any of our other filings made with Securities and Exchange Commission (the “SEC”).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Health and Safety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safety is always front and center. We invest in the health, safety, development and well-being of our employees. In an effort to ensure workplace safety, we train employees on how to follow our detailed, written safety standards and procedures, and the law, and to watch for and report anything potentially harmful. Our safety key performance indicators are reviewed weekly, monthly and annually to ensure quick feedback and to address safety issues as soon as they arise.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Learning and Development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offer a number of programs that help our employees progress in their careers. These programs include access to online learning and development tools as well as many additional local initiatives across our global locations to support employees on their career paths and develop leadership qualities and career skills in our global workforce.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employee benefits vary by region but generally include:</w:t>
      </w:r>
    </w:p>
    <w:p>
      <w:pPr>
        <w:spacing w:after="0" w:line="18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Savings Plans;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Commuter Benefits;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Wellness Initiatives;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Tuition Reimbursement;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 including births, adoptions or placements of foster children.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Satisfaction and Engagement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foster a culture of open communications and have implemented a global systematic employee engagement process in which employees are surveyed periodically. Our Executive Leadership Team regularly reviews the results and considers and implements action items to address areas that need improvement. We have additional regional programs and policies in place to encourage open communications with management and Human Resources about employees’ ideas, concerns and how they are doing.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are a global health and wellness company whose purpose is to inspire healthier living for people, communities, and the planet through better-for-you brands. Our Impact strategy focuses on our commitment to environmentally sound business practices, creating and selling better-for-you products, stakeholder and community impact initiatives and sustainable manufacturing processes. More details about our Impact strategy and goals, including our most recent Impact Report, are available at </w:t>
      </w:r>
      <w:r>
        <w:rPr>
          <w:rFonts w:ascii="Times New Roman" w:cs="Times New Roman" w:eastAsia="Times New Roman" w:hAnsi="Times New Roman"/>
          <w:sz w:val="18"/>
          <w:szCs w:val="18"/>
          <w:i w:val="1"/>
          <w:iCs w:val="1"/>
          <w:color w:val="auto"/>
        </w:rPr>
        <w:t>hain.com/company/impact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 xml:space="preserve">Our Impact Reports and the other information available at </w:t>
      </w:r>
      <w:r>
        <w:rPr>
          <w:rFonts w:ascii="Times New Roman" w:cs="Times New Roman" w:eastAsia="Times New Roman" w:hAnsi="Times New Roman"/>
          <w:sz w:val="18"/>
          <w:szCs w:val="18"/>
          <w:i w:val="1"/>
          <w:iCs w:val="1"/>
          <w:color w:val="auto"/>
        </w:rPr>
        <w:t>hain.com/company/impact</w:t>
      </w:r>
      <w:r>
        <w:rPr>
          <w:rFonts w:ascii="Times New Roman" w:cs="Times New Roman" w:eastAsia="Times New Roman" w:hAnsi="Times New Roman"/>
          <w:sz w:val="18"/>
          <w:szCs w:val="18"/>
          <w:color w:val="auto"/>
        </w:rPr>
        <w:t xml:space="preserve"> are not, and shall not be deemed to be, a part of this Form 10-K or incorporated into any of our other filings made with the SEC.</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brand portfolio focuses on growing global brands in categories where we believe we have the most potential. We continuously evaluate our existing products for quality, taste, nutritional value and cost and make improvements where possible. We discontinue products or stock keeping units when sales of those items do not warrant further production. The segments section details the various products that are categorized under distinct brands corresponding to our reportable segments.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product lines have seasonal fluctuations in demand. Hot tea and soup sales are stronger in colder months, while sales of snack foods are stronger in the warmer months. As such, our results of operations and our cash flows for any particular quarter are not indicative of the results we expect for the full year, and our historical seasonality may not be indicative of future quarterly results of operations. Historically, net sales and profitability in the first fiscal quarter have typically been the lowest of our four quarters.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organization structure consists of two geographic based reportable segments: North America and International, which are also the Company’s operating segments. This structure is in line with how our Chief Operating Decision Maker (“CODM”) assesses the Company’s performance and allocates resources. The Company uses segment net sales and segment Adjusted EBITDA in order to analyze segment results and trends.</w:t>
      </w:r>
    </w:p>
    <w:p>
      <w:pPr>
        <w:spacing w:after="0" w:line="13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“Management’s Discussion and Analysis of Financial Condition and Results of Operations” in Item 7 and Note 21,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Part II, Item 8 of this Form 10-K for additional details.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United States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products are sold throughout the U.S. Our customer base consists principally of supermarkets and natural food stores, mass-market, club stores, specialty and natural food distributors, e-commerce retailers, and away from home channels, including drug and convenience stores and food service. Our products are sold through a combination of direct salespeople, brokers and distributors. We believe that our direct salespeople combined with brokers and distributors provide an effective means of reaching a broad and diverse customer base. Brokers act as agents for us within designated territories and receive commissions. A portion of our direct sales force is organized into dedicated teams to serve our significant customers.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significant portion of the products marketed by us are sold through independent distributors. Food distributors purchase products from us for resale to retailers.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brands sold in the U.S. include:</w:t>
      </w:r>
    </w:p>
    <w:p>
      <w:pPr>
        <w:spacing w:after="0" w:line="191" w:lineRule="exact"/>
        <w:rPr>
          <w:sz w:val="20"/>
          <w:szCs w:val="20"/>
          <w:color w:val="auto"/>
        </w:rPr>
      </w:pPr>
    </w:p>
    <w:p>
      <w:pPr>
        <w:ind w:left="760" w:hanging="378"/>
        <w:spacing w:after="0" w:line="22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Garden Veggie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 products including Garden Veggie Straws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Garden Veggie Chips, Flavor Burst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Apple Straws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varieties of root vegetable chips, potato chips, and other exotic vegetable chips and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tortilla chips.</w:t>
      </w:r>
    </w:p>
    <w:p>
      <w:pPr>
        <w:spacing w:after="0" w:line="1" w:lineRule="exact"/>
        <w:rPr>
          <w:rFonts w:ascii="Times New Roman" w:cs="Times New Roman" w:eastAsia="Times New Roman" w:hAnsi="Times New Roman"/>
          <w:sz w:val="18"/>
          <w:szCs w:val="18"/>
          <w:color w:val="auto"/>
        </w:rPr>
      </w:pPr>
    </w:p>
    <w:p>
      <w:pPr>
        <w:jc w:val="both"/>
        <w:ind w:left="760" w:hanging="378"/>
        <w:spacing w:after="0" w:line="203"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Tea products under the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include varieties of herbal, green, black, wellness, rooibos and chai teas, with well-known names and products such as Sleepytime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Lemon Zinger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Red Zinger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Cinnamon Apple Spice, Bengal Spice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Country Peach Passion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Tea Well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760" w:hanging="378"/>
        <w:spacing w:after="0" w:line="24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Baby and kid food products include infant and toddler formula, infant cereals, baby food pouches, snacks and frozen toddler and kids’ foods under the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w:t>
      </w:r>
    </w:p>
    <w:p>
      <w:pPr>
        <w:spacing w:after="0" w:line="1" w:lineRule="exact"/>
        <w:rPr>
          <w:rFonts w:ascii="Times New Roman" w:cs="Times New Roman" w:eastAsia="Times New Roman" w:hAnsi="Times New Roman"/>
          <w:sz w:val="18"/>
          <w:szCs w:val="18"/>
          <w:color w:val="auto"/>
        </w:rPr>
      </w:pPr>
    </w:p>
    <w:p>
      <w:pPr>
        <w:ind w:left="760" w:hanging="378"/>
        <w:spacing w:after="0" w:line="21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Yogurt products include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Greek-style yogurt products.</w:t>
      </w:r>
    </w:p>
    <w:p>
      <w:pPr>
        <w:ind w:left="760" w:hanging="378"/>
        <w:spacing w:after="0" w:line="21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care products include hand, skin, hair and sun care products under the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w:t>
      </w:r>
    </w:p>
    <w:p>
      <w:pPr>
        <w:ind w:left="760" w:right="20" w:hanging="378"/>
        <w:spacing w:after="0" w:line="225"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products include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culinary oils, vinegars and condiments, Spectrum Essentials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nutritional oils and supplements, MaraNatha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nut butters,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broths.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are sold throughout Canada. Our customer base consists principally of grocery supermarkets, club stores, mass merchandisers, natural food distributors, drug store chains, personal care distributors, and food service distributors. Our products are sold through our own retail direct sales force. We also utilize third-party brokers who receive commissions and sell to food service and retail customers. We utilize a third-party merchandising team for retail execution. As in the U.S., a portion of the products marketed by us are sold through independent distributors.</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brands sold in Canada include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infant formula, MaraNatha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nut butters,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cooking and culinary oils,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Greek-style yogurt and Robertson’s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marmalades. Other food and beverage brands include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and Garden Veggie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 products. Our personal care products include skin, hair and oral care products, sun care products and deodorants under the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JASON</w:t>
      </w:r>
      <w:r>
        <w:rPr>
          <w:rFonts w:ascii="Times New Roman" w:cs="Times New Roman" w:eastAsia="Times New Roman" w:hAnsi="Times New Roman"/>
          <w:sz w:val="24"/>
          <w:szCs w:val="24"/>
          <w:color w:val="auto"/>
          <w:vertAlign w:val="superscript"/>
        </w:rPr>
        <w: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63"/>
        <w:spacing w:after="0" w:line="227" w:lineRule="auto"/>
        <w:rPr>
          <w:sz w:val="20"/>
          <w:szCs w:val="20"/>
          <w:color w:val="auto"/>
        </w:rPr>
      </w:pPr>
      <w:r>
        <w:rPr>
          <w:rFonts w:ascii="Times New Roman" w:cs="Times New Roman" w:eastAsia="Times New Roman" w:hAnsi="Times New Roman"/>
          <w:sz w:val="18"/>
          <w:szCs w:val="18"/>
          <w:color w:val="auto"/>
        </w:rPr>
        <w:t>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In the first quarter of fiscal year 2026, we announced the closure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refrigerated and frozen meat-alternative snacks and meals business, which is expected to occur in the second quarter of fiscal year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Segment: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United Kingdom</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Kingdom, our products include baby and toddler food, soups, plant-based and meat-free dishes and meals, as well as ambient products such as jams, fruit spreads, jellies, marmalades, nut butters, syrups and dessert sauces.</w:t>
      </w:r>
    </w:p>
    <w:p>
      <w:pPr>
        <w:spacing w:after="0" w:line="10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The products sold in the United Kingdom include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premium organic infant and toddler foods, New Covent Garden Soup Co.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Cully and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chilled soups, private label and Farmhouse Fare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hot-eat desserts,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frozen plant-based dishes and meals,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jams, fruit spreads and jellies, Sun-Pat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nut butters, Clarks™ natural sweeteners and Robertson’s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Frank Cooper’s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Rose’s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marmalades and conserves. We also provide a comprehensive range of private label products to many grocery and organic food retailers, convenience stores and food service providers in the following categories: fresh soup, chilled desserts, meat-free dishes and meals and ambient grocery products.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principally sold throughout the United Kingdom and Ireland but are also sold in Europe and other parts of the world. Our customer base consists principally of retailers, convenience stores, food service providers, business to business, natural food and ethnic specialty distributors, club stores, e-commerce retailers and wholesalers.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Western Europe</w:t>
      </w:r>
    </w:p>
    <w:p>
      <w:pPr>
        <w:spacing w:after="0" w:line="234"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Our products sold by the Western Europe reporting unit include, among others, products sold under the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The Lima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includes a wide range of organic products such as soy sauce and condiments, plant-based beverages and coffee alternatives. Our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includes plant-based beverages, including rice, almond, soy, oat, cashew and spelt. Our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includes soy, almond, oat, rice and nut-based drinks as well as plant-based yogurts, desserts and creamers. We also sell our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jams, fruit spreads and jellies,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frozen plant-based dishes and meals,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chilled soups and ready meals, Happy Rice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drink and private label products in Western Europe.</w:t>
      </w:r>
    </w:p>
    <w:p>
      <w:pPr>
        <w:spacing w:after="0" w:line="20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products are sold in grocery stores and organic food stores throughout Europe, the Middle East and Africa. Our products are sold using our own direct sales force and local distributors.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Walmart Inc. and its affiliates together accounted for approximately 18%, 18% and 16% of our consolidated sales for the fiscal years ended June 30, 2025, 2024 and 2023, respectively, which was related to both of our reportable segments, North America and International. No other customer accounted for at least 10% of our net sales in any of the past three fiscal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sell our products to customers worldwide. Sales outside of the U.S. represented approximately 50%, 46% and 43% of our consolidated net sales in fiscal 2025,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aim to meet the consumer at multiple points in their journey, across the digital and omni channel ecosystem, communicating both in-store and online. We use a combination of trade and consumer advertising and promotion. Trade advertising and promotion include placement fees, cooperative advertising, feature advertising in distribution catalogs and in-store merchandising in prominent and secondary locations.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Consumer advertising and promotion is used to build brand awareness and equity, drive trial to bring in new consumers and retain existing users to increase household penetration and consumption. Paid social and digital advertising, including retailer media and public relations programs, are the main drivers of brand awareness. Trial and conversion tactics include, but are not limited to, product search on Google and e-commerce sites, digital coupons, product sampling, direct mail and e-consumer relationship programs. Additionally, brand specific websites and social media pages are used to engage consumers with lifestyle, product and usage information related to specific brands.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utilize marketing arrangements with third parties to help create awareness and advocacy and leverage various influencers to help increase brand reach and relevance.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Product Initiatives Through Research and Development</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Innovation, including new product development, is a key component of our growth strategy. We continuously seek to understand our consumers and develop products that address their desire for better-for-you alternatives to conventional packaged foods. We have a demonstrated track record of extending our product offerings into other product categories. A team of professional product developers, including microbiologists, nutritionists, food scientists, chefs and chemists, work to develop products to meet changing consumer needs. Our research and development staff incorporates product ideas from all areas of our business in order to formulate new products. In addition to developing new products, the research and development staff routinely reformulates and improves existing products based on advances in ingredients, packaging and technology. In addition to our Company-sponsored research and development activities, in order to quickly and economically introduce our new products to market, we may partner with contract manufacturers that make our products according to our formulas or other specifications. The Company also partners with certain customers from time to time on exclusive customer initiatives. The Company’s research and development expenditures do not include the expenditures on such activities undertaken by co-packers and suppliers who develop numerous products on behalf of the Company and on their own initiative with the expectation that the Company will accept their new product ideas and market them under the Company’s brands.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2025, 2024 and 2023, approximately 64%, 65% and 58%, respectively, of our revenue was derived from products manufactured at our own facilities.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North America reportable segment operates the following manufacturing facilities:</w:t>
      </w:r>
    </w:p>
    <w:p>
      <w:pPr>
        <w:spacing w:after="0" w:line="191"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Boulder, Colorado, which produces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w:t>
      </w:r>
    </w:p>
    <w:p>
      <w:pPr>
        <w:spacing w:after="0" w:line="7" w:lineRule="exact"/>
        <w:rPr>
          <w:rFonts w:ascii="Times New Roman" w:cs="Times New Roman" w:eastAsia="Times New Roman" w:hAnsi="Times New Roman"/>
          <w:sz w:val="18"/>
          <w:szCs w:val="18"/>
          <w:color w:val="auto"/>
        </w:rPr>
      </w:pPr>
    </w:p>
    <w:p>
      <w:pPr>
        <w:ind w:left="760" w:hanging="378"/>
        <w:spacing w:after="0" w:line="187"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Mountville, Pennsylvania, which produces Garden Veggie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 products;</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Lancaster, Pennsylvania, which produces snack products; and</w:t>
      </w:r>
    </w:p>
    <w:p>
      <w:pPr>
        <w:spacing w:after="0" w:line="7" w:lineRule="exact"/>
        <w:rPr>
          <w:rFonts w:ascii="Times New Roman" w:cs="Times New Roman" w:eastAsia="Times New Roman" w:hAnsi="Times New Roman"/>
          <w:sz w:val="18"/>
          <w:szCs w:val="18"/>
          <w:color w:val="auto"/>
        </w:rPr>
      </w:pPr>
    </w:p>
    <w:p>
      <w:pPr>
        <w:ind w:left="760" w:hanging="378"/>
        <w:spacing w:after="0" w:line="228"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Mississauga, Ontario, which produces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personal care products (see Note 4,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Liabilities Held for Sale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 connection with the above-noted closure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we expect to close the associated manufacturing facility in Vancouver, British Columbia.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reportable segment operates the following manufacturing facilities:</w:t>
      </w:r>
    </w:p>
    <w:p>
      <w:pPr>
        <w:spacing w:after="0" w:line="191"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Histon, England, which produces our ambient grocery products including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Frank Cooper’s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Robertson’s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Clarks™;</w:t>
      </w:r>
    </w:p>
    <w:p>
      <w:pPr>
        <w:spacing w:after="0" w:line="7" w:lineRule="exact"/>
        <w:rPr>
          <w:rFonts w:ascii="Times New Roman" w:cs="Times New Roman" w:eastAsia="Times New Roman" w:hAnsi="Times New Roman"/>
          <w:sz w:val="18"/>
          <w:szCs w:val="18"/>
          <w:color w:val="auto"/>
        </w:rPr>
      </w:pPr>
    </w:p>
    <w:p>
      <w:pPr>
        <w:ind w:left="760" w:hanging="378"/>
        <w:spacing w:after="0" w:line="21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Grimsby, England, which produces our New Covent Garden Soup Co.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chilled soups;</w:t>
      </w:r>
    </w:p>
    <w:p>
      <w:pPr>
        <w:ind w:left="760" w:hanging="378"/>
        <w:spacing w:after="0" w:line="21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Clitheroe, England, which produces our private label and Farmhouse Fare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hot-eat desserts;</w:t>
      </w:r>
    </w:p>
    <w:p>
      <w:pPr>
        <w:ind w:left="760" w:hanging="378"/>
        <w:spacing w:after="0" w:line="21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Fakenham, England, which produces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meat-free frozen and chilled dishes and meals;</w:t>
      </w:r>
    </w:p>
    <w:p>
      <w:pPr>
        <w:ind w:left="760" w:hanging="378"/>
        <w:spacing w:after="0" w:line="211"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Troisdorf, Germany, which produces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other plant-based beverages and private label products;</w:t>
      </w:r>
    </w:p>
    <w:p>
      <w:pPr>
        <w:ind w:left="760" w:right="20" w:hanging="378"/>
        <w:spacing w:after="0" w:line="213"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Oberwart, Austria, which produces our Lima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foods and beverages, creamers, cooking creams and private label products;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Schwerin, Germany, which also produces our Lima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foods and beverages and private label products.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 Properties” of this Form 10-K for more information on the manufacturing facilities that we operate.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Manufacturers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products manufactured in our own facilities, independent third-party contract manufacturers, who are referred to in our industry as co-manufacturers or co-packers, manufacture many of our products. In general, utilizing co-packers provides us with the flexibility to produce a large variety of products and the ability to enter new categories quickly and economically. Our contract manufacturers have been selected based on their production capabilities, capitalization and specific product category expertise, and we expect to continue to partner with them to improve and expand our product offerings. During fiscal 2025, 2024 and 2023, approximately 36%, 35% and 42%, respectively, of our sales were derived from products manufactured by co-packers. We require that our co-packers comply with all applicable regulations and our quality and food safety program requirements, and</w:t>
      </w:r>
    </w:p>
    <w:p>
      <w:pPr>
        <w:sectPr>
          <w:pgSz w:w="11900" w:h="16838" w:orient="portrait"/>
          <w:cols w:equalWidth="0" w:num="1">
            <w:col w:w="11240"/>
          </w:cols>
          <w:pgMar w:left="320" w:top="117" w:right="3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compliance is verified through auditing and other activities. Additionally, the co-packers are required to ensure our products are manufactured in accordance with our finished goods specifications to ensure we meet customer expectations.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of Ingredients and Packaging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Agricultural commodities and ingredients, including vegetables, fruits, oils, grains, beans, nuts, tea and herbs, spices, and dairy products, are the principal inputs used in our food and beverage products. Plant-based surfactants, glycerin and alcohols are the main inputs used in our personal care products. Our primary packaging supplies are cartons, pouches, printed film, paper, paperboard and jars. We strive to maintain a global supplier base that provides innovative ideas and sustainable packaging alternatives.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raw materials and packaging materials are obtained from various suppliers around the world. The Company works with its suppliers to ensure the quality and safety of their ingredients and that such ingredients meet our specifications and comply with applicable regulations. These assurances are supported by our purchasing contracts, supplier expectations manual, supplier code of conduct, supplier scorecards and technical assessments, including questionnaires, scientific data, certifications, affidavits, certificates of analysis and analytical testing, where required. Our purchasers and quality team visit major suppliers around the world to procure competitively priced, quality ingredients that meet our specifications.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long-term relationships with many of our suppliers. Purchases are made through purchase orders or contracts, and price, delivery terms and product specifications vary.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Agricultural commodities and ingredients are subject to price volatility which can be caused by a variety of factors. We attempt to mitigate the input price volatility with a combination of price increases to our customers, purchasing strategies, cost savings initiatives and operating efficiencies.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competitive environment. Our products compete with both large conventional packaged goods companies and natural and organic packaged foods companies. Many of these competitors enjoy significantly greater resources. Large conventional packaged foods competitors include Campbell Soup Company, Conagra Brands, Inc., Danone S.A., General Mills, Inc., The Hershey Company, The J.M. Smucker Company, Kellanova, Mondelez International, Inc., Nestle S.A. and PepsiCo, Inc. Large conventional personal care products companies with whom we compete include, but are not limited to, The Clorox Company, Colgate-Palmolive Company, Johnson &amp; Johnson, The Procter &amp; Gamble Company and S. C. Johnson &amp; Son, Inc. Certain of these large conventional packaged foods and personal care companies compete with us by selling both conventional products and natural and/or organic products. In addition to these competitors, in each of our categories we compete with many regional and small, local niche brands. Given limited retailer shelf space and merchandising events, competitors actively support their respective brands with marketing, advertising and promotional spending. In addition, most retailers market similar items under their own private label, which compete for the same shelf space.</w:t>
      </w:r>
    </w:p>
    <w:p>
      <w:pPr>
        <w:spacing w:after="0" w:line="1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Competitive factors in the packaged foods industry include product quality and taste, brand awareness and loyalty, price, product variety, interesting or unique product names, product packaging and package design, shelf space, reputation, advertising, promotion and nutritional claims.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brand awareness is a significant component in a consumer’s decision to purchase one product over another in the highly competitive consumer packaged goods industry. We generally register our trademarks and brand names in the U.S., Canada, the European Union, and the United Kingdom (“U.K.”) and/or other foreign countries depending on the area of distribution of the applicable products. We intend to keep these filings current and seek protection for new trademarks to the extent consistent with business needs. We monitor trademark registers worldwide and take action to enforce our rights as we deem appropriate. We believe that our trademarks are significant to the marketing and sale of our products and that the inability to utilize certain of these names and marks, and/or the inability to prevent third parties from using similar names or marks, could have a material adverse effect on our business.</w:t>
      </w:r>
    </w:p>
    <w:p>
      <w:pPr>
        <w:spacing w:after="0" w:line="16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also market products under brands licensed under trademark license agreements, including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Rose’s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as well as the Paddington Bear image on certain of our Robertson’s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products.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extensive regulations in the U.S. by federal, state and local government authorities. In the U.S., the federal agencies governing the manufacture, marketing and distribution of our products include, among others, the Federal Trade Commission (“FTC”), the United States Food &amp; Drug Administration (“FDA”), the United States Department of Agriculture (“USDA”), the United States Environmental Protection Agency (“EPA”) and the Occupational Safety and Health Administration</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(“OSHA”). Under various statutes, these agencies prescribe and establish, among other things, the requirements and standards for quality, safety and representation of our products to the consumer in labeling and advertising.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we are subject to the laws and regulatory authorities of the foreign jurisdictions in which we manufacture and sell our products, including the Canadian Food Inspection Agency, Health Canada, Food Standards Agency in the United Kingdom, and the European Food Safety Authority.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utilize a comprehensive product safety and quality management program, which employs strict manufacturing procedures, expert technical knowledge on food safety science, employee training, ongoing process innovation, use of quality ingredients and both internal and independent auditing.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U.S., each of our own food manufacturing facilities has a Food Safety Plan (“FSP”), which focuses on preventing food safety risks and is compliant with the requirements set forth under the Food Safety Modernization Act (“FSMA”). In addition, we have individuals on the Quality team that have Preventive Controls Qualified Individual (“PCQI”) and Foreign Supplier Verification Training; each training follows a standardized curriculum recognized by the FDA.</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audits of our contract manufacturers to address topics such as allergen control; ingredient, packaging and product specifications; and sanitation. Under FSMA, each of our contract manufacturers is required to have a FSP, a Hazard Analysis Critical Control Plant (“HACCP”) plan or a hazard analysis critical control points plan that identifies critical pathways for contaminants and mandates control measures to be in place to mitigate food-borne hazards.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Certifications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Substantially all of our Company-owned manufacturing sites and a significant number of our contract manufacturers are certified against a recognized standard such as the Global Food Safety Initiative (“GFSI”), which includes Safe Quality Foods (“SQF”) and British Retail Consortium (“BRC”), or ISO 9001 Quality Management Systems and ISO 22716 GMP Cosmetic and Personal Care. All facilities where our food products are manufactured are GFSI compliant. These standards are integrated product safety and quality management protocols designed specifically for the food and personal care sectors and offer a comprehensive methodology to manage product safety and quality. Certification provides an independent and external validation that a product, process or service complies with applicable regulations and standards.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U.S., our organic food products are certified in accordance with the USDA’s National Organic Program through Quality Assurance International (“QAI”), a third-party certifying agency. For products marketed as organic outside of the U.S., we use accredited certifying agencies to ensure compliance with country-specific government regulations for selling organic products or reciprocity, where available.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products are certified kosher under the supervision of accredited agencies including The Union of Orthodox Jewish Congregations and “KOF-K” Kosher Supervision.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work with other non-governmental organizations such as NSF International, which developed the NSF/ANSI 305 Standard for Personal Care Products Containing Organic Ingredients and provides third-party certification through QAI for certain of our personal care products. In addition, we work with other nongovernmental organizations such as the Gluten Free Intolerance Group, Fair Trade USA, The Skin Cancer Foundation, Coalition for Consumer Information on Cosmetics/Leaping Bunny, The Roundtable on Sustainable Palm Oil and the Non-GMO Project.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Website and Available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information can be found, free of charge, in the “Investor Relations” section of our corporate website at </w:t>
      </w:r>
      <w:r>
        <w:rPr>
          <w:rFonts w:ascii="Times New Roman" w:cs="Times New Roman" w:eastAsia="Times New Roman" w:hAnsi="Times New Roman"/>
          <w:sz w:val="18"/>
          <w:szCs w:val="18"/>
          <w:i w:val="1"/>
          <w:iCs w:val="1"/>
          <w:color w:val="auto"/>
        </w:rPr>
        <w:t>ir.hain.com</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760" w:hanging="378"/>
        <w:spacing w:after="0" w:line="261"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report on Form 10-K, quarterly reports on Form 10-Q, current reports on Form 8-K, and all amendments to those reports as soon as reasonably practicable after such material is electronically filed with or furnished to the SEC;</w:t>
      </w:r>
    </w:p>
    <w:p>
      <w:pPr>
        <w:jc w:val="both"/>
        <w:ind w:left="760" w:hanging="378"/>
        <w:spacing w:after="0" w:line="250"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policies related to corporate governance, including our Code of Conduct applying to our directors, officers and employees (including our principal executive officer, principal financial officer and principal accounting officer) that we have adopted to meet the requirements set forth in the rules and regulations of the SEC and The Nasdaq Stock Market LLC; and</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of the Audit, Compensation, Nominating and Governance and Strategy Committees of our Board of Directors.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Company ever were to amend or waive any provision of its Code of Ethics that applies to the Company’s principal executive officer, principal financial officer, principal accounting officer or any person performing similar functions, the Company intends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satisfy its disclosure obligations, if any, with respect to any such waiver or amendment by posting such information on its website set forth above rather than by filing a Current Report on Form 8-K.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may use its website as a distribution channel of material Company information. Financial and other important information regarding the Company is routinely posted on and accessible through the Company’s investor relations website at </w:t>
      </w:r>
      <w:r>
        <w:rPr>
          <w:rFonts w:ascii="Times New Roman" w:cs="Times New Roman" w:eastAsia="Times New Roman" w:hAnsi="Times New Roman"/>
          <w:sz w:val="18"/>
          <w:szCs w:val="18"/>
          <w:i w:val="1"/>
          <w:iCs w:val="1"/>
          <w:color w:val="auto"/>
        </w:rPr>
        <w:t>ir.hain.com</w:t>
      </w:r>
      <w:r>
        <w:rPr>
          <w:rFonts w:ascii="Times New Roman" w:cs="Times New Roman" w:eastAsia="Times New Roman" w:hAnsi="Times New Roman"/>
          <w:sz w:val="18"/>
          <w:szCs w:val="18"/>
          <w:color w:val="auto"/>
        </w:rPr>
        <w:t>. In addition, you may automatically receive email alerts and other information about the Company when you enroll your email address by visiting “E-mail Alerts” under the "IR Resources" section of our investor relations website. Information on the Company’s website is not incorporated by reference herein and is not a part of this Form 10-K.</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operations and financial condition are subject to various risks and uncertainties. While we believe we have identified and discussed below the key risk factors affecting our business, there may be additional risks and uncertainties not presently known to us or that we currently consider immaterial. If any of the following risks and uncertainties develop into actual events, our business, financial condition or results of operations could be materially adversely affected. In such case, the trading price of our common stock could decline, and you may lose all or part of your investment. You should not interpret the disclosure of any risk factor to imply that the risk has not already materialized. These risk factors should be read in conjunction with the other information in this Annual Report on Form 10-K and in the other documents that we file from time to time with the SEC.</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Operations and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markets are highly competitive.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highly competitive geographic and product markets. Numerous brands and products compete for limited retailer shelf space, where competition is based on product quality, brand recognition, brand loyalty, price, product innovation and variety, packaging, convenience, promotional activity, availability, taste and health or functional attributes among other things. Retailers also market competitive products under their own private labels, which are generally sold at lower prices and compete with some of our products.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our markets are dominated by multinational corporations with greater resources and more substantial operations than us. We may not be able to successfully compete for sales to distributors or retailers that purchase from larger competitors that have greater financial, managerial, sales, technical and operational resources. Larger food companies may be able to use their resources and scale to respond to competitive pressures and changes in consumer preferences by introducing new products or reformulating their existing products, reducing prices or increasing promotional activities. We also compete with other organic and natural packaged food brands and companies, which may be more innovative and able to bring new products to market faster and may be better able to quickly exploit and serve niche markets. As a result of this competition, retailers may take actions that negatively affect us. Consequently, we may need to increase our marketing, advertising and promotional spending to protect our existing market share. Furthermore, we may experience price pressure due to competitors’ promotional activity and pricing, which may be particularly strong during adverse economic periods and periods of high inflation. Increased competition could have an adverse impact on our sales, margins, profitability and market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and continued success depend upon consumer preferences for our products, which could change.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primarily focused on sales of better-for-you products and could be harmed if consumer demand for such categories were to decrease. During an economic downturn or inflationary environment, factors such as increased unemployment, decreases in disposable income and declines in consumer confidence could cause a decrease in demand for our overall product set, particularly higher priced better-for-you products, or consumers may stop buying the categories of products that we sell entirely. Moreover, consumer preferences continuously evolve due to a variety of factors, including changes in demographics, consumption patterns and diet trends (including as a result of the use of weight loss drugs), channel preferences, pricing, product quality, packaging and perceptions of certain ingredients, among others. While we continue to diversify our product offerings, developing new products entails risks, and demand for our products may not continue at current levels or increase in the future. The success of our innovation and product improvement effort depends on our ability to anticipate changes in consumers’ preferences, the availability of funding, the technical capability of our research and development staff in developing, formulating and testing product prototypes, including complying with governmental regulations, the success of management’s go-to-market strategy and competitor responses such as increased promotional activity or advertising.</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consumption has continued to shift toward the e-commerce channel. Some products we sell via the e-commerce channel have lower margins than those sold in traditional brick and mortar retailers and present unique challenges in order fulfillment. The growth in e-commerce has also encouraged the entry of new competitors and business models, intensifying competition by simplifying distribution and lowering barriers to entry. If we are unsuccessful in implementing product improvements or introducing new products that satisfy the demands of consumers, our business could be harmed.</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business strategy, or if our strategy proves to be ineffective, our business, operating results and financial condition may be adversely affected.</w:t>
      </w:r>
    </w:p>
    <w:p>
      <w:pPr>
        <w:spacing w:after="0" w:line="11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the fourth quarter of fiscal year 2025, we announced the launch of a formal process to review our portfolio to maximize shareholder value as we continue to pursue our strategy of being a pure-play better-for-you food company. Our ability to execute on this strategy is dependent on a number of factors, including the ability of our management to execute the strategy, our ability to innovate to meet changing consumer demand, our ability to effectively manage our supply chain and pricing, and the ability of our employees to perform at a high level. If we are unable to execute our strategy, or if the public perceives that we are not executing on our strategy, it could adversely affect our business, financial performance, and growth.</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Relatedly, from time to time, we evaluate potential acquisitions or dispositions that align with our strategic objectives. For example, in the third quarter of 2025, we announced that we would be exploring strategic alternatives for our personal care business. The success of these initiatives depends upon our ability to identify suitable buyers and successfully negotiate contract terms, among other factors. These initiatives may present operational risks, including diversion of management’s attention from other matters or difficulties separating businesses from our operations. If we are not successful in executing desired strategic transactions, our business, operating results and financial condition could be adversely affected.</w:t>
      </w:r>
    </w:p>
    <w:p>
      <w:pPr>
        <w:spacing w:after="0" w:line="13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manage our supply chain effectively or if there are disruptions in our supply chain, our business and results of operations may be adversely affected.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success of our business depends, in part, on maintaining a strong sourcing and manufacturing platform and efficient distribution channels. Our ability to ensure a continuing supply of natural, organic and specialty ingredients used in certain of our products at competitive prices depends on many factors beyond our control, such as the number and size of farms that grow natural and organic crops, the number of producers of specialty ingredients, climate conditions, high demand for certain ingredients by our competitors, global unrest, changes in national and global economic conditions, currency fluctuations and tariffs. Certain ingredients that we use in the production of our products (including, among others, vegetables, fruits, nuts and grains) are vulnerable to adverse weather conditions and natural disasters, such as floods, droughts, water scarcity, temperature extremes, wildfires, frosts, earthquakes and pestilences. Natural disasters and adverse weather conditions can lower crop yields and reduce crop size and crop quality, which in turn could reduce our supplies of ingredients or increase the prices of ingredients. If our supplies of ingredients are reduced, we may not be able to find enough supplemental supply sources on favorable terms, if at all.</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Moreover, the inability or failure of any independent contract manufacturer or third-party distributor to deliver or perform for us in a timely or cost-effective manner could cause our operating costs to increase and our profit margins to decrease, especially as it relates to our products that have a short shelf life. If we do not continuously monitor our inventory and product mix against forecasted demand, we risk having inadequate supplies to meet consumer demand or alternatively having too much inventory on hand that may reach its expiration date and become unsaleable. In addition, disputes with significant suppliers, including disputes regarding pricing or performance, could adversely affect our ability to supply products to our customers and could materially and adversely affect our product sales, financial condition, and results of operations.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must also manage our third-party distribution, warehouse and transportation providers to ensure they are able to support the efficient distribution of our products to retailers. A disruption in transportation services could result in an inability to supply materials to our or our co-manufacturers’ facilities or finished products to our distribution centers or customers. Activity at third-party distribution centers could be disrupted by a number of factors, including labor issues, quality control issues, failure to meet customer standards, natural disasters or financial issues affecting the third-party providers.</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manage our supply chain efficiently and ensure that our products are available to meet consumer demand and customer orders, our sales and profitability could be materially adversely impacted.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results of operations may be adversely affected by input cost inflation, including as a result of tariffs.</w:t>
      </w:r>
    </w:p>
    <w:p>
      <w:pPr>
        <w:spacing w:after="0" w:line="18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Many aspects of our business have been, and may continue to be, directly affected by volatile commodity costs and other inflationary pressures, including U.S. government tariffs and the imposition of any counter-tariffs. Agricultural commodities and ingredients are subject to price volatility that can be caused by commodity market fluctuations, crop yields, seasonal cycles, weather conditions, temperature extremes and natural disasters, pest and disease problems, changes in currency exchange rates, imbalances between supply and demand, and government programs and policies, including tariffs, among other factors. Volatile fuel costs and other factors translate into unpredictable costs for the products and services we receive from our third-party providers including, but not limited to, freight and other distribution costs for our products and packaging costs. Moreover, the cost of distribution has generally increased in recent years due to an increase in transportation and logistics costs as a result of high levels of long-haul driver turnover and increased railroad traffic and service issues.</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seek to offset increased input costs with a combination of price increases to our customers, purchasing strategies, cost savings initiatives and operating efficiencies, we may be unable to fully offset our increased costs or unable to do so in a timely manner. Increases in pricing resulting from input cost inflation may impact our volume of products sold and could adversely affect our financial results.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independent contract manufacturers to manufacture certain of our products, and the loss of or disruption in our relationship with one or more of these parties could adversely affect our 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2025, 2024 and 2023, approximately 36%, 35% and 42%, respectively, of our sales were derived from products manufactured by independent contract manufacturers, or co-manufacturers. In some cases, an individual co-manufacturer may produce all of our requirements for a particular brand. We believe there are a limited number of competent, high-quality co-manufacturers in the industry, and many of our co-manufacturers produce products for other companies as well. Therefore, if we lose or need to change one or more co-manufacturers, fail to retain co-manufacturers for newly acquired or developed products or brands, or if our relationship with one or more of our co-manufacturers is disrupted, production of our products may be delayed or postponed and/or the availability of some of our products may be reduced or eliminated, which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 or loss of operations at one or more of our manufacturing facilities could harm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years ended June 30, 2025, 2024 and 2023, approximately 64%, 65% and 58%, respectively, of our sales were derived from products manufactured at our own manufacturing facilities. A disruption of or the loss of operations at one or more of these facilities, which may be caused by disease outbreaks or pandemics, labor issues, natural disasters, governmental actions or other events beyond our control, could delay or postpone production of our products, which could have a material adverse effect on our business, results of operations and financial condition. Labor market shortages have impacted, and may continue to impact, operations at our manufacturing facilities.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percentage of our sales is concentrated among a small number of customers, and consolidation of customers or the loss of a significant customer could negatively impact our sales and profitability.</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growth and continued success depend upon, among other things, our ability to maintain and increase sales volumes with existing customers, our ability to attract new customers, the financial condition of our customers and our ability to provide products that appeal to customers at the right price. A significant percentage of our sales is concentrated among a small number of customers. For example, sales to Walmart Inc. and its affiliates approximated 18%, 18% and 16% of sales during the fiscal years ended June 30, 2025, 2024 and 2023, respectively. With the growing trend toward retail trade consolidation, the growing presence of large-format retailers, discounters and e-commerce retailers, shrinking retail footprints and store closures and the integration of traditional and digital operations at key retailers, we are increasingly dependent on certain retailers that may have greater bargaining strength than we do. Retailers may use their leverage to demand higher trade discounts, allowances, slotting fees or increased investment, which could result in reduced sales or profitability in certain markets. Our customers are generally not contractually obligated to purchase from us and their decision to purchase from us is driven by multiple factors, including consumer preferences and demand, price, product quality, customer service performance, availability and other factors. The loss of any large customer, a reduction of purchasing levels or the cancellation of any business from a large customer for an extended length of time could negatively impact our sales and profitability.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distributors for a substantial portion of our sales.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United States and other markets, we rely upon sales made by or through non-affiliated distributors to customers. Distributors purchase directly for their own account for resale. The loss of, or business disruption at, one or more of these distributors may harm our business. If we are required to obtain additional or alternative distribution agreements or arrangements in the future, we cannot be certain that we will be able to do so on satisfactory terms or in a timely manner. Our inability to enter into satisfactory distribution agreements may inhibit our ability to implement our business plan or to establish markets necessary to successfully expand the distribution of our products.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international sales and operations, including tariffs, foreign currency and compliance and other trade risks.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fiscal years ended June 30, 2025, 2024 and 2023, approximately 50%, 46% and 43%, respectively, of our consolidated sales were generated outside the United States. Sales from outside our U.S. markets may continue to represent a significant portion of our consolidated sales in the future. Our non-U.S. sales and operations are subject to risks inherent in conducting business abroad, many of which are outside our control,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quotas, trade barriers or sanctions, other trade protection measures and import or export licensing requirements imposed by governments that might negatively affect our sales, including, but not limited to, Canadian and European Union tariffs imposed on certain U.S. food and beverages;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global enterprise, including differing labor standards and design and implementation of effective control environment processes across our diverse operations and employee base;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020" w:hanging="503"/>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operating under a wide variety of complex foreign laws, treaties and regulations, including compliance with food safety regulations, marketing and labeling laws and regulations, antitrust and competition laws, anti-modern slavery laws, anti-bribery and anti-corruption laws, data privacy laws, including the European Union General Data Protection Regulation (“GDPR”), tax laws and regulations and a variety of other local, national and multi-national regulations and laws;</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abilities to enforce intellectual property and contractual rights;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economic downturns and the instability of governments, including default or deterioration in the creditworthiness of local governments, geopolitical regional conflicts, terrorist activity, political unrest, civil strife, acts of war, public corruption, instability in the financial services sector, expropriation and other economic or political uncertainties;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U.S. laws affecting operations outside of the United States, such as the U.S. Foreign Corrupt Practices Act and the Office of Foreign Assets Control trade sanction regulations and anti-boycott regulations;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uncollectible accounts and longer collection cycles.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outsourced certain functions to third-party service providers, and any service failures or disruptions related to these outsourcing arrangements could adversely affect our business.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outsourced certain business processes in the areas of supply chain, accounting and information technology to managed service providers, globally. Failure by these third parties to meet their contractual, regulatory and other obligations to us, or our failure to adequately monitor their performance, could result in our inability to achieve the expected cost savings or efficiencies and could result in additional costs to correct errors made by such service providers. Moreover, we have diminished control over the quality and timeliness of the outsourced services, including the cybersecurity protections implemented by these third parties. As a result of these outsourcing arrangements, we may experience interruptions or delays in our processes, loss or theft of sensitive data or other cybersecurity issues, compliance issues, challenges in maintaining and reporting financial and operational information, and increased costs to remediate any unanticipated issues that arise, any of which could materially and adversely affect our business, financial condition and results of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conflicts could continue to cause challenges and create risks for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financial conditions and results of operations have been impacted in the past and may be impacted in the future by disruptions in the global economy. Although we have no material assets in Russia, Belarus, Ukraine, Israel, China or Taiwan, our supply chain has been, and may continue to be, adversely impacted by the Russia-Ukraine war and conflicts in the Middle East and between China and Taiwan. In particular, these conflicts have added significant costs to existing inflationary pressures through increased fuel and raw material prices and labor costs. Further, beyond increased costs, labor challenges and other factors have led to supply chain disruptions. While, to date, we have been able to identify replacement raw materials where necessary, we have incurred increased costs in doing so. Geopolitical conflicts may also result in an increased risk of cybersecurity incidents or disruptions to information systems. Although we are continuing to monitor and manage the impacts of these conflicts on our business, such conflicts and the related economic impacts could continue to have a material adverse effect on our business and operating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independent certifications for a number of our products.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independent third-party certifications, such as certifications of our products as “organic,” “Non-GMO” or “kosher,” to differentiate our products from others. We must comply with the requirements of independent organizations or certification authorities in order to label our products. For example, we can lose our “organic” certification if a manufacturing plant becomes contaminated with non-organic materials, or if it is not properly cleaned after a production run. In addition, all raw materials must be certified organic. Similarly, we can lose our “kosher” certification if a manufacturing plant and raw materials do not meet the requirements of the appropriate kosher supervision organization. The loss of any independent certifications could adversely affect our market position as an organic and natural products company, which could harm our business.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attract and retain the highly skilled people we need to support our business.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depend on the skills and continued service of key personnel. In addition, our ability to achieve our strategic and operating goals depends on our ability to identify, hire, train and retain qualified individuals. We also compete with other companies both within and outside of our industry for talented personnel, and we may lose key personnel or fail to attract, train and retain other talented personnel. Any such loss or failure may adversely affect our business or financial results.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tax matters, including changes in tax rates, disagreements with taxing authorities and imposition of new taxes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taxes in the U.S. and foreign jurisdictions where the Company’s subsidiaries are organized. Tax rates in the U.S. and various foreign jurisdictions have been and may continue to be subject to significant change. The Organization for Economic Cooperation and Development (“OECD”) has introduced a framework to implement a global minimum corporate income tax. To the extent that additional OECD guidance leads to legislative changes in countries where we operate, it is possible the changes may adversely impact our effective tax rate. This new minimum tax is not expected to be material to the Company. We are also subject to regular reviews, examinations and audits by the Internal Revenue Service and other taxing authorities with respect to taxes inside and outside of the U.S. Although we believe our tax estimates are reasonable, if a taxing authority disagrees with the positions we have taken, we could face additional tax liability, including interest and penalties. There can be no assurance that payment of such additional amounts upon final adjudication of any disputes will not have a material impact on our results of operations and financial position. We also need to comply with new, evolving or revised tax laws and regulations. The enactment of or increases in tariffs, sales or value-added tax, or other changes in the application of existing taxes, may have an adverse effect on our business or on our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Financial and Economic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default under our credit agreement or inability to refinance our indebtedness could have significant consequences.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credit agreement contains covenants imposing certain restrictions on our business. These restrictions may affect our ability to operate our business and may limit our ability to take advantage of potential business opportunities as they arise. The credit agreement requires us to satisfy certain financial covenants, such as maintaining a maximum consolidated secured leverage ratio, a minimum consolidated interest coverage ratio and, in certain periods, minimum levels of consolidated EBITDA as defined in the credit agreement. The credit agreement also contains restrictive covenants including, with specified exceptions, limitations on our ability to engage in certain business activities, incur debt and liens, pay dividends or make other distributions, enter into affiliate transactions, consolidate, merge or acquire or dispose of assets, and make certain investments, acquisitions and loans.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 default, which would permit the lenders to declare all outstanding debt to be due and payable, together with accrued and unpaid interest. Our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 Any default by us under the credit agreement could have a material adverse effect on our business and financial condition.</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credit agreement matures in December 2026. Prior to that maturity date, we will need to refinance our indebtedness, which could include obtaining new financing. We may not be able to refinance on terms that are as favorable as provided in our current credit agreement, or at all. To facilitate our refinancing efforts and in order to reduce our overall indebtedness, we may consider actions such as strategic dispositions, sales of assets or reductions or delays of capital expenditures. Any inability to refinance our indebtedness or do so on favorable terms could have a material adverse effect on our business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adversely affect our consolidated financial results and condition.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risks related to fluctuations in currency exchange rates. Our consolidated financial statements are presented in U.S. Dollars, requiring us to translate our assets, liabilities, revenue and expenses into U.S. Dollars. As a result, changes in the values of currencies may unpredictably and adversely impact our consolidated operating results, our asset and liability balances and our cash flows in our consolidated financial statements even if their value has not changed in their original currency. Given our global operations, we also pay for the ingredients, raw materials and commodities used in our business in numerous currencies. Fluctuations in exchange rates, including as a result of inflation, central bank monetary policies, currency controls or other currency exchange restrictions or geopolitical instability have had, and could continue to have, an adverse impact on our financial performance.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Disruptions in the worldwide economy and the financial markets may adversely impact our business and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and uncertain economic and market conditions, such as inflation, economic slowdowns or recessions, increased unemployment, decreases in disposable income and declines in consumer confidence, particularly in the locations in which we operate, may impact customer and consumer demand for our products and our ability to manage normal commercial relationships with our customers, suppliers and creditors. Consumers may shift purchases to lower-priced or other perceived value offerings, which may adversely affect our results of operations. Consumers may also reduce the number of better-for-you products that they purchase where there are less expensive conventional or private label alternatives. Distributors and retailers may also become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more conservative in response to these conditions and seek to reduce their inventories. Prolonged unfavorable economic conditions may have an adverse effect on any of these factors and, therefore, could adversely impact our sales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Reputation, Brands, Intangible Assets and Intellectual Property</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impairment in the carrying value of goodwill or other acquired intangible assets could materially and adversely affect our consolidated results of operations and net worth.</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June 30, 2025, we had goodwill of $501.0 million and trademarks and other intangibles assets of $210.9 million, which in the aggregate represented 44.4% of our total consolidated assets. The net carrying value of goodwill represents the fair value of acquired businesses in excess of identifiable assets and liabilities as of the acquisition date (or subsequent impairment date, if applicable), less any amounts ascribed to disposed businesses. The fair value of trademarks and other intangibles exceeded or represented the net carrying value of trademarks, customer relationships and other acquired intangibles as of the acquisition date (or subsequent impairment date, if applicable), net of accumulated amortization. Goodwill and other acquired intangibles expected to contribute indefinitely to our cash flows are not amortized but must be evaluated by management at least annually for impairment. Amortized intangible assets are evaluated for impairment whenever events or changes in circumstances indicate that the carrying amounts of these assets may not be recoverable. Impairments to goodwill and other intangible assets may be caused by factors outside our control, such as increasing competitive pricing pressures, changes in discount rates based on changes in cost of capital (interest rates, etc.), lower than expected sales and profit growth rates, changes in industry Earnings Before Interest Taxes Depreciation and Amortization (“EBITDA”) multiples, the inability to quickly replace lost co-manufacturing business, or the bankruptcy of a significant customer.</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have in the past recorded, and may in the future be required to record, significant charges in our consolidated financial statements during the period in which any impairment of our goodwill or intangible assets is determined. For example, during fiscal 2025, fiscal 2024 and fiscal 2023, we recorded aggregate non-cash impairment charges of $37.8 million, $44.6 million and $174.9 million, respectively, related to certain trademarks and intangible assets to reduce their carrying value to their estimated fair value. Further, during fiscal 2025, we also recorded aggregate non-cash goodwill impairment charges of $357.7 million related to the U.S. and Canada reporting units, and $71.2 million related to the U.K. reporting unit goodwill to reduce their carrying values to their estimated fair values. The incurrence of additional impairment charges could negatively affect our results of operations and adversely impact our net worth and our consolidated earnings in the period of such charge. For further information, see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in the Notes to Consolidated Financial Statements included in Item 8 of this Form 10-K, and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xml:space="preserve"> in the Management's Discussion and Analysis of Financial Condition and Results of Operations included in Item 7 of this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reputation of our Company or our brands erodes significantly, it could have a material impact on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success is directly dependent on the perception of our Company and our brands among our customers, consumers, employees and other constituents. Our results could be negatively impacted if our Company or one or more of our brands suffers substantial damage to its reputation due to real or perceived issues related to the quality or safety of our products or the Company’s societal impact. Further, the growing use of social media by consumers has greatly increased the speed and extent that information or misinformation and opinions can be shared. Negative posts or comments about us, our brands, or our products on social media could seriously damage our brands and reputation. Additionally, negative reaction to our marketing and advertising, including our social media content, could result in damage to our brands and reputation.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use our trademarks or the trademarks we license from third parties could have a material adverse effect on our business.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brand awareness is a significant component in a consumer’s decision to purchase one product over another in the highly competitive food, beverage and personal care industries. Although we endeavor to protect our trademarks and tradenames, these efforts may not be successful, and third parties may challenge our right to use one or more of our trademarks or tradenames. We believe that our trademarks and tradenames are significant to the marketing and sale of our products and that the inability to utilize certain of these names and marks, and/or the inability to prevent third parties from using similar names or marks, could have a material adverse effect on our business, results of operations and financial condition. In addition, if, in the course of developing new products or improving existing products, we are found to have infringed the intellectual property rights of others, directly or indirectly, such finding could have an adverse impact on our business, financial condition or results of operations.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market products under brands licensed under trademark license agreements. If in the future we are unable to enforce, renew or renegotiate our licensing arrangements on terms acceptable to us, our financial results could be materially and adversely affected.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Cybersecurity and Technology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cybersecurity incident or other technology disruptions could negatively impact our business and our relationships with customers.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depend on information systems and technology, including public websites and cloud-based services, in substantially all aspects of our business, including communications among our employees and with suppliers, customers and consumers. Such uses of information systems and technology give rise to cybersecurity risks, including system disruption, security breach, malware, ransomware, theft, espionage and inadvertent release of information. We have become more reliant on mobile devices, remote communication and other technologies as part of the recent change in office working patterns, exacerbating our cybersecurity risk. Our business involves the storage and transmission of numerous classes of sensitive and/or confidential information and intellectual property, including customers’ and suppliers’ information, private information about employees, and financial and strategic information about the Company and its business partners. As we pursue new initiatives that improve our operations and cost structure, we are also expanding and improving our information technologies, resulting in a larger technological presence and increased exposure to cybersecurity risk. In addition, the rapid evolution and increased adoption of emerging technologies, such as artificial intelligence, may intensify our cybersecurity risks. If we fail to assess and identify cybersecurity risks associated with new initiatives, we may become increasingly vulnerable to such risks. While we currently maintain insurance coverage that, subject to its terms and conditions, is intended to address costs associated with certain aspects of cybersecurity incidents and information technology failures, this insurance coverage may not, depending on the specific facts and circumstances surrounding an incident, cover any or all losses or types of claims that arise from an incident, or the damage to our business, reputation or brands that may result from an incident. As the frequency and magnitude of cybersecurity incidents increase globally, we may be unable to obtain the insurance coverage that we think is appropriate or necessary to offset the risk.</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experienced cybersecurity threats and vulnerabilities in our systems and those of our third-party providers. Although, to date, such prior events have not had a material impact on our financial condition, results of operations or financial condition, the potential consequences of a future material cybersecurity attack could be significant and could include reputational damage, litigation with third parties, government enforcement actions, penalties, disruption to systems, unauthorized release of confidential or otherwise protected information, corruption of data and increased cybersecurity protection and remediation costs, which in turn could adversely affect our competitiveness, results of operations and financial condition. Due to the evolving nature of such security threats, the potential impact of any future incident cannot be predicted. For more information regarding the Company’s cybersecurity risk management, see Item 1C of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could be disrupted if our information technology systems fail to perform adequately.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fire, natural disasters, system failures and viruses. Any such damage or interruption could have a material adverse effect on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Litigation, Government Regulation and Compliance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may lead us to incur significant costs.</w:t>
      </w:r>
    </w:p>
    <w:p>
      <w:pPr>
        <w:spacing w:after="0" w:line="18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are, or may become, party to various lawsuits and claims arising in the normal course of business, which may include lawsuits or claims relating to contracts, intellectual property, product recalls, product liability, the marketing and labeling of products, employment matters, environmental matters, data protection or other aspects of our business as well as any securities class action and stockholder derivative litigation. For example, as discussed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Item 8 of this Form 10-K, we are currently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class actions and derivative complaints arising out of or related to the Company’s prior internal accounting review. Certain of our former officers and former members of our Board of Directors, as individual defendants, are also subject to lawsuits related to such accounting review, and we may have an obligation to indemnify them in relation to these matters. Additionally, as discussed further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we are subject to consumer class actions, and other lawsuits alleging some form of personal injury, relating to our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Even when not merited, the defense of these lawsuits may divert our management’s attention, and we may incur significant expenses in defending these lawsuits. The results of litigation and other legal proceedings are inherently uncertain, and adverse judgments or settlements in some or all of these legal disputes may result in monetary damages, penalties or injunctive relief against us, which could have a material adverse effect on our results of operations and financial condition. Any claims or litigation, even if fully indemnified or insured, could damage our reputation and make it more difficult to compete effectively or to obtain adequate insurance in the future.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significant liability should the consumption of any of our products cause illness or physical harm.</w:t>
      </w:r>
    </w:p>
    <w:p>
      <w:pPr>
        <w:spacing w:after="0" w:line="18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The sale of products for human use and consumption involves the risk of injury or illness to consumers. Such injuries may result from inadvertent mislabeling, tampering by unauthorized third parties, product contamination, food-borne illnesses, allergens or spoilage. Under certain circumstances, we may be required to recall or withdraw products, suspend production of our products or cease operations, which could result in increased costs (including payment of fines and/or judgments, cleaning and remediation costs and legal fees, and costs associated with alternative sources of production), cancellation of customer orders and a decline in consumer confidence and demand, any of which could have a material adverse effect on our business. Even if a situation does not necessitate a recall or market withdrawal, product liability claims might be asserted against us. While we are subject to governmental inspection and regulations and believe our facilities and those of our co-manufacturers and suppliers comply in all material respects with all applicable laws and regulations, if the consumption of any of our products causes, or is alleged to have caused, an illness or physical harm, we may become subject to claims or lawsuits relating to such matters. For example, as discussed in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Item 8 of this Form 10-K, we are subject to consumer class actions, and other lawsuits alleging some form of personal injury, relating to our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Even if a claim is unsuccessful or is not fully pursued, the negative publicity surrounding any assertion that our products were mislabeled, unsafe or caused illness or physical harm could adversely affect our reputation with existing and potential customers and consumers and our corporate and brand image. Our business could also be adversely affected if consumers lose confidence in the quality, safety and integrity of certain food products or ingredients, or the food safety system generally, even if such loss of confidence is unrelated to products in our portfolio. Although we maintain product liability and product recall insurance in an amount that we believe to be adequate, we may incur claims or liabilities for which we are not insured or that exceed the amount of our insurance coverage. A product liability judgment against us or a product recall could have a material adverse effect on our business, results of operations and financial condition.</w:t>
      </w:r>
    </w:p>
    <w:p>
      <w:pPr>
        <w:spacing w:after="0" w:line="16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could subject us to civil and criminal penalties, and any changes in the legal and regulatory frameworks in which we operate could make it more costly or challenging to manufacture and sell our products.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a highly regulated environment with constantly evolving legal and regulatory frameworks. Consequently, we are subject to a heightened risk of legal claims, government investigations and other regulatory enforcement actions. We are subject to extensive regulations in the United States, United Kingdom, Canada, Europe and any other countries where we manufacture, distribute and/or sell our products. The conduct of our business is subject to numerous laws and regulations relating to the registration and approval of our products, sourcing, manufacturing, storing, labeling, marketing, advertising, content (including whether a product contains genetically modified ingredients), quality, safety, transportation, supply chain, traceability, distribution, packaging, disposal, recycling, employment and occupational health and safety, environmental matters, machine learning and artificial intelligence and data privacy and protection. Enforcement of existing laws and regulations, changes in legal or regulatory requirements and/or evolving interpretations of existing requirements may result in increased compliance costs or otherwise make it more costly or challenging to manufacture and sell our products, which could materially adversely affect our business, financial condition or operating results.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a failure to maintain effective control processes could lead to violations, unintentional or otherwise, of laws and regulations. Legal claims, government investigations or regulatory enforcement actions arising out of our failure or alleged failure to comply with applicable laws and regulations could subject us to civil and criminal penalties that could materially and adversely affect our product sales, reputation, financial condition and operating results. In addition, the costs and other effects of defending potential and pending litigation and administrative actions against us may be difficult to determine and could adversely affect our financial condition and operating results.</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relating to goodwill and indefinite-lived intangible asset impairment testing. If we are unable to remediate this material weakness, or if we experience additional material weaknesses or deficiencies in the future or otherwise fail to maintain an effective system of internal controls, we may not be able to accurately or timely report our financial results, in which case our business may be harmed, investors may lose confidence in the accuracy and completeness of our financial reports and the price of our common stock may decline.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our most recent year-end assessment of internal control over financial reporting, we identified a material weakness in our internal control over financial reporting as of June 30, 2025. Specifically, we did not design and operate effective controls as of June 30, 2025 to review on a timely basis and in sufficient detail the projected financial information and certain key assumptions and underlying calculations used in goodwill and indefinite-lived intangible asset quantitative impairment tests that were performed throughout the year related to our reporting units. These control deficiencies did not result in a material misstatement of the impairment losses in the interim or annual consolidated financial statements and there were no changes to</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previously issued financial statements. For a more detailed discussion of our internal control over financial reporting and a description of the identified material weakness, see Part II, Item 9A, “Controls and Procedures.”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further described in Item 9A “Controls and Procedures – Management’s Report on Internal Control Over Financial Reporting,” we are conducting a detailed review and performing remediation activities, including implementation of control design changes to ensure that control objectives are met. The material weakness in our internal control over financial reporting will not be considered remediated until the remediated controls operate for a sufficient period of time and management has concluded, through testing, that these controls are operating effectively. We may not be successful in making the improvements necessary to remediate the material weakness identified by management or be able to do so in a timely manner, or be able to identify and remediate additional control deficiencies or material weaknesses in the future. Any implementation delays, or disruption in the transition to new or enhanced procedures or controls, could harm our ability to record and report financial information on a timely and accurate basis, which could cause stockholders to lose confidence in our reported financial information and adversely affect our business and the value of our common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Compliance with data privacy laws may be costly, and non-compliance with such laws may result in significant liability.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jurisdictions in which the Company operates have laws and regulations relating to data privacy and protection of personal information, including the European Union GDPR and the California Consumer Privacy Act of 2018 (“CCPA”), as amended by the California Privacy Rights Act (“CPRA”), among other U.S. state laws. Failure to comply with GDPR or CCPA requirements or other data privacy laws could result in litigation, adverse publicity and significant penalties and damages. The law in this area continues to develop, and the changing nature of privacy laws could impact the Company’s processing of personal information related to the Company’s job applicants, employees, consumers, customers and vendors. The enactment of more restrictive laws, rules or regulations or future enforcement actions or investigations could impact us through increased costs or restrictions on our business, and noncompliance could result in regulatory penalties and significant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significant liability that is not covered by insurance.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the extent of our insurance coverage is consistent with industry practice, such coverage does not cover all losses we may incur, even in areas for which we have coverage. Our insurance policies are subject to coverage exclusions, deductibles and caps, and any claim we make under our insurance policies may be subject to such limitations. Any claim we make may not be honored fully, in a timely manner, or at all, and we may not have purchased sufficient insurance to cover all losses incurred. If we were to incur substantial liabilities or if our business operations were interrupted for a substantial period of time, we could incur costs and suffer losses. Additionally, in the future, insurance coverage may not be available to us at commercially acceptable premiums, or at all.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Environmental Considerations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impacts may negatively affect our business and operations.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concern that carbon dioxide and other greenhouse gases in the atmosphere may have an adverse impact on global temperatures, weather patterns and the frequency and severity of extreme weather and natural disasters. There have recently been numerous extreme weather and climate-related events, including historic droughts, heatwaves, wildfires, extreme cold and flooding. To the extent that these events have a negative effect on agricultural productivity, we may be subject to decreased availability or less favorable pricing for certain commodities that are necessary for our products, such as vegetables, fruits, grains, beans and nuts. We may also be subjected to decreased availability of water, deteriorated quality of water or less favorable pricing for water, which could adversely impact our manufacturing and distribution operations.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climate impacts, demand for sustainable products may increase, requiring us to incur incremental costs for additional transparency, due diligence and reporting. Moreover, the investment community, customers, consumers, employees, activists, media, regulators and other stakeholders, some of whom may have conflicting opinions, may scrutinize our sustainability initiatives, including any related goals, targets, methodologies or timelines. Any failure to meet stakeholder expectations on environmental or sustainability matters or any perception of a failure to act responsibly with respect to the environment could lead to adverse publicity, adversely impact our financial results and/or expose us to regulatory and legal risks. As a result, climate impacts and our actions related thereto could negatively affect our business and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 claims or new laws or regulations with respect to environmental matters could have a significant negative impact on our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nature of our operations exposes us to the risk of liabilities and claims with respect to environmental matters, including those relating to the disposal and release of hazardous substances. Furthermore, our operations are governed by laws and regulations relating to workplace safety and worker health, which, among other things, regulate employee exposure to hazardous chemicals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workplace. Any material costs incurred in connection with such liabilities or claims could have a material adverse effect on our business, results of operations and financial condition.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focus on climate impacts may lead to new environmental laws and regulations that impact our business. For example, there are a growing number of laws and regulations regarding product packaging, particularly in Europe. Our compliance with such existing laws and regulations and any new laws or regulations enacted in the future, or any changes in how existing laws or regulations will be enforced, administered or interpreted, may lead to an increase in compliance costs, cause us to change the way we operate or expose us to additional risk of liabilities and claims, which could have a material adverse effect on our business, results of operations and financial condition.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Ownership of Our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issue preferred stock may deter takeover attempts.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is empowered to issue, without stockholder approval, preferred stock with dividends, liquidation, conversion, voting or other rights, which could decrease the amount of earnings and assets available for distribution to holders of our common stock and adversely affect the relative voting power or other rights of the holders of our common stock. In the event of issuance, the preferred stock could be used as a method of discouraging, delaying or preventing a change in control. Our amended and restated certificate of incorporation authorizes the issuance of up to 5 million shares of “blank check” preferred stock with such designations, rights and preferences as may be determined from time to time by our Board of Directors. Although we have no present intention to issue any shares of our preferred stock, we may do so in the future under appropriate circumstances.</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enterprise risk management framework considers cybersecurity risk alongside other applicable risks as part of our overall risk assessment process. Within our comprehensive enterprise risk management framework, our cybersecurity risk management program is focused on assessing, identifying, and managing risks arising out of our use of information technology (“IT”) including the risk of cybersecurity incidents and threats. The program is informed by recognized frameworks such as the National Institute of Standards and Technology Cybersecurity Framework (“NIST CSF”). Our cybersecurity team utilizes a variety of tools, processes and outside resources to continue to raise and maintain its maturity across the elements of NIST CSF.</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cybersecurity risk management program includes a Cyber Security Incident Response Plan (“CSIRP”). Our CSIRP supports the Company in identifying, containing, and tracking cybersecurity incidents experienced by us or our third-party service providers or suppliers. The CSIRP was established to minimize the impact of cybersecurity incidents on our networks, IT systems, users and business processes, and to ensure the timely and accurate reporting of material cybersecurity incidents, should they occur. The execution of our CSIRP is led by our Chief Information Officer and Head of Business Services (“CIO”), with support from a designated IT Incident Response Manager leading an Incident Response Team consisting of subject matter experts, as well as our Executive Response Team when appropriate. In the event of an incident, these individuals work together to assess its severity, notify and brief the appropriate team members, escalate to our Board of Directors as needed, and implement containment procedures. The Company also conducts tabletop exercises to enhance incident response preparedness and engages third parties, including consultants and other professionals, on an as-needed basis to assess and support our cybersecurity practices and procedures.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operations and is widely communicated to employees through periodic (not less than annual) employee and contractor cybersecurity awareness training, which includes information about how to identify and report cybersecurity concerns and incidents. Our information technology organization also conducts phishing simulations and testing scenarios to help ensure compliance with our cybersecurity policies and procedures. These awareness measures are coupled with ongoing implementation of technology aimed to reduce vulnerabilities (including external testing and validation) and to monitor and assess threats. Our program includes monitoring on a continuous basis through automated tools and 24x7 managed services that detect threats and trigger alerts for assessment, investigation, and remediation by our information technology organization.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business continuity and disaster recovery plans to prepare for potential information technology disruptions. We also maintain insurance coverage that, subject to its terms and conditions, is intended to address costs associated with certain aspects of cyber incidents and information systems failures. Based on the information we have as of the date of this Form 10-K, we do not believe any risks from cybersecurity threats, including as a result of any previous cybersecurity incidents, have materially affected or are reasonably likely to materially affect us, including our business strategy, results of operations or financial condition. See “Item 1A. Risk Factors – Risks Related to Cybersecurity and Technology” for further information about these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risk oversight responsibility for the Company, which it administers directly and with assistance from its committees. The Audit Committee assists the Board in its oversight of the cybersecurity risk management program. The Audit Committee is tasked with reviewing and receiving periodic reports from management regarding the Company’s information technology system controls and security and, at least annually, evaluating the adequacy of the Company’s information technology security program, compliance, governance processes, training and controls. The Audit Committee specifically oversees:</w:t>
      </w:r>
    </w:p>
    <w:p>
      <w:pPr>
        <w:spacing w:after="0" w:line="156" w:lineRule="exact"/>
        <w:rPr>
          <w:sz w:val="20"/>
          <w:szCs w:val="20"/>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evaluation of the potential impact of cybersecurity risk exposures on the Company’s business, financial results, operations and reputation,</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steps management has taken to monitor and mitigate such exposures,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legislative and regulatory developments that could materially impact such exposure, and</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incident response planning (including escalation protocols), including with respect to the prompt reporting of material cybersecurity threats or incidents to management, the Audit Committee and the Board of Directors.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CIO periodically provides the Executive Leadership Team, which consists of the Company’s executive officers and other senior leaders, with cybersecurity briefings, information and trainings, and updates the Audit Committee on cybersecurity</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biannually or more frequently as appropriate. At any time, Board members may raise concerns regarding the Company’s cybersecurity posture and recommend changes regarding controls or procedures to management. Our CSIRP includes a process for incidents to be evaluated for material impact, with an escalation protocol requiring reporting of material incidents to the Executive Response Team and to the Board of Directors.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CIO is the management position with primary responsibility for the development, operation, and maintenance of our cybersecurity risk management program. The CIO has deep experience in information systems and technology, including developing information and cybersecurity programs, roll-outs of new technology, information security audit and assessments, and cybersecurity operations focused on identification, mitigation and response to cybersecurity threats. The CIO has experience overseeing and executing technology strategies in complex, global, and matrixed environments. The CIO joined the Company in 2020, bringing over 15 years of experience leading IT strategy and change initiatives in the consumer packaged goods industry, and reports directly to our interim CEO.</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facilities, which are leased except where otherwise indicated,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Primary Use</w:t>
            </w:r>
          </w:p>
        </w:tc>
        <w:tc>
          <w:tcPr>
            <w:tcW w:w="200" w:type="dxa"/>
            <w:vAlign w:val="bottom"/>
          </w:tcPr>
          <w:p>
            <w:pPr>
              <w:spacing w:after="0"/>
              <w:rPr>
                <w:sz w:val="13"/>
                <w:szCs w:val="13"/>
                <w:color w:val="auto"/>
              </w:rPr>
            </w:pPr>
          </w:p>
        </w:tc>
        <w:tc>
          <w:tcPr>
            <w:tcW w:w="232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3"/>
                <w:szCs w:val="13"/>
                <w:color w:val="auto"/>
              </w:rPr>
            </w:pPr>
          </w:p>
        </w:tc>
        <w:tc>
          <w:tcPr>
            <w:tcW w:w="13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73"/>
        </w:trPr>
        <w:tc>
          <w:tcPr>
            <w:tcW w:w="59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Square Feet</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w:t>
            </w: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Global Headquarters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Hoboken, NJ</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39,990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2034</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 All brands</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Allentown, PA</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497,000</w:t>
            </w:r>
          </w:p>
        </w:tc>
        <w:tc>
          <w:tcPr>
            <w:tcW w:w="13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distribution center (Snack products)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Mountville, PA</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161,000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2040</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offices (Tea)</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Boulder, CO</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158,000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(Dry goods)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Mississauga, ON, Canada</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136,000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and distribution (Snack products)*</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Lancaster, PA</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119,000</w:t>
            </w:r>
          </w:p>
        </w:tc>
        <w:tc>
          <w:tcPr>
            <w:tcW w:w="13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(Personal care)</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Mississauga, ON, Canada</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81,000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(Plant-based foods)*</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Vancouver, BC, Canada</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76,000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offices (Personal care)</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Mississauga, ON, Canada</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61,000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(Tea)</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Boulder, CO</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57,000</w:t>
            </w:r>
          </w:p>
        </w:tc>
        <w:tc>
          <w:tcPr>
            <w:tcW w:w="13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and offices (Ambient grocery products)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Histon, England</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303,000</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distribution and offices (Plant-based beverages)</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Troisdorf, Germany</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131,000</w:t>
            </w:r>
          </w:p>
        </w:tc>
        <w:tc>
          <w:tcPr>
            <w:tcW w:w="13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2037</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(Plant-based foods and beverages)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Oberwart, Austria</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117,000</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will</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(Plant-based frozen and chilled products)</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Fakenham, England</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101,000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Gent, Belgium</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64,000</w:t>
            </w: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 will</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Niederziers, Germany</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54,000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At will</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(Chilled soups)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Grimsby, England</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 (Soups, hot-eat desserts, chilled products, grocery)</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Peterborough, England</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43,000</w:t>
            </w:r>
          </w:p>
        </w:tc>
        <w:tc>
          <w:tcPr>
            <w:tcW w:w="13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(Hot-eat desserts)</w:t>
            </w:r>
          </w:p>
        </w:tc>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Clitheroe, England</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42,000</w:t>
            </w:r>
          </w:p>
        </w:tc>
        <w:tc>
          <w:tcPr>
            <w:tcW w:w="13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200" w:type="dxa"/>
            <w:vAlign w:val="bottom"/>
            <w:shd w:val="clear" w:color="auto" w:fill="CFF0FC"/>
          </w:tcPr>
          <w:p>
            <w:pPr>
              <w:spacing w:after="0"/>
              <w:rPr>
                <w:sz w:val="18"/>
                <w:szCs w:val="18"/>
                <w:color w:val="auto"/>
              </w:rPr>
            </w:pPr>
          </w:p>
        </w:tc>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Loipersdorf, Austria</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41,000</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At will</w:t>
            </w:r>
          </w:p>
        </w:tc>
        <w:tc>
          <w:tcPr>
            <w:tcW w:w="0" w:type="dxa"/>
            <w:vAlign w:val="bottom"/>
          </w:tcPr>
          <w:p>
            <w:pPr>
              <w:spacing w:after="0"/>
              <w:rPr>
                <w:sz w:val="1"/>
                <w:szCs w:val="1"/>
                <w:color w:val="auto"/>
              </w:rPr>
            </w:pPr>
          </w:p>
        </w:tc>
      </w:tr>
      <w:tr>
        <w:trPr>
          <w:trHeight w:val="196"/>
        </w:trPr>
        <w:tc>
          <w:tcPr>
            <w:tcW w:w="59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Manufacturing and distribution (Plant-based foods and beverages)</w:t>
            </w:r>
          </w:p>
        </w:tc>
        <w:tc>
          <w:tcPr>
            <w:tcW w:w="200" w:type="dxa"/>
            <w:vAlign w:val="bottom"/>
          </w:tcPr>
          <w:p>
            <w:pPr>
              <w:spacing w:after="0"/>
              <w:rPr>
                <w:sz w:val="17"/>
                <w:szCs w:val="17"/>
                <w:color w:val="auto"/>
              </w:rPr>
            </w:pPr>
          </w:p>
        </w:tc>
        <w:tc>
          <w:tcPr>
            <w:tcW w:w="23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Schwerin, Germany</w:t>
            </w:r>
          </w:p>
        </w:tc>
        <w:tc>
          <w:tcPr>
            <w:tcW w:w="1440" w:type="dxa"/>
            <w:vAlign w:val="bottom"/>
            <w:gridSpan w:val="2"/>
          </w:tcPr>
          <w:p>
            <w:pPr>
              <w:jc w:val="right"/>
              <w:ind w:right="48"/>
              <w:spacing w:after="0" w:line="195" w:lineRule="exact"/>
              <w:rPr>
                <w:sz w:val="20"/>
                <w:szCs w:val="20"/>
                <w:color w:val="auto"/>
              </w:rPr>
            </w:pPr>
            <w:r>
              <w:rPr>
                <w:rFonts w:ascii="Times New Roman" w:cs="Times New Roman" w:eastAsia="Times New Roman" w:hAnsi="Times New Roman"/>
                <w:sz w:val="18"/>
                <w:szCs w:val="18"/>
                <w:color w:val="auto"/>
              </w:rPr>
              <w:t>36,000</w:t>
            </w:r>
          </w:p>
        </w:tc>
        <w:tc>
          <w:tcPr>
            <w:tcW w:w="200" w:type="dxa"/>
            <w:vAlign w:val="bottom"/>
          </w:tcPr>
          <w:p>
            <w:pPr>
              <w:spacing w:after="0"/>
              <w:rPr>
                <w:sz w:val="17"/>
                <w:szCs w:val="17"/>
                <w:color w:val="auto"/>
              </w:rPr>
            </w:pP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Owned</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Property is planned to be closed in fiscal 2026.</w:t>
            </w: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lease space for other smaller offices and facilities in the United States, United Kingdom, Canada, Western Europe and other parts of the world.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foregoing distribution facilities operated by us, we also utilize bonded public warehouses from which deliveries are made to customers.</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regarding our lease obligations,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Notes to Consolidated Financial Statements included in Part II, Item 8 of this Form 10-K. For further information regarding the use of our properties by segments, see Item 1, “Business - Production” of this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18,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Part II, Item 8 of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shares of our common stock, par value $0.01 per share, are listed on The Nasdaq Stock Market LLC under the ticker symbol “HAIN”.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9, 2025, there were 219 holders of record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The payment of all dividends will be at the discretion of our Board of Directors and will depend on, among other things, future earnings, operations, capital requirements, contractual restrictions, including restrictions under our credit facility, our general financial condition and general business conditions.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Unregistered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June 30, 2025, there were no shares repurchased under share repurchase programs approved by the Board of Directors.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there were 13,062 shares withheld by the Company to satisfy tax withholding obligations in connection with shares issued under stock-based compensation plans, at an average price of $2.54 per share. These shares withheld to satisfy tax withholding obligations do not constitute repurchases by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the Company’s Board of Directors authorized the repurchase of up to $200 million of the Company’s issued and outstanding common stock. Repurchases may be made from time to time in the open market, pursuant to pre-set trading plans, in private transactions or otherwise. The authorization does not have a stated expiration date. The extent to which the Company repurchases its shares and the timing of such repurchases will depend upon market conditions and other corporate considerations. During the fiscal year ended June 30, 2025, the Company did not repurchase any shares under the repurchase program. As of June 30, 2025, the Company had $173.5 million of remaining authorization under the share repurchase program.</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during the period from June 30, 2020 through June 30, 2025 to the cumulative total shareholder return during such period on (1) the S&amp;P SmallCap 600 Index and (2) the S&amp;P Food &amp; Beverage Select Industry Index (in which the Company is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5812155" cy="2263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215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and Results of Operations (this “MD&amp;A”) should be read in conjunction with Item 1A and the Consolidated Financial Statements and the related notes thereto for the period ended June 30, 2025 included in Item 8 of this Form 10-K. Forward-looking statements in this Form 10-K are qualified by the cautionary statement included under the heading, “Forward-Looking Statements” at the beginning of this Form 10-K.</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MD&amp;A generally discusses fiscal 2025 and fiscal 2024 items and year-to-year comparisons between fiscal 2025 and fiscal 2024. Discussions of fiscal 2023 items and year-to-year comparisons between fiscal 2024 and fiscal 2023 that are not included in this Form 10-K can be found in “Part II, Item 7, Management’s Discussion and Analysis of Financial Condition and Results of Operations” of the Company’s Annual Report on Form 10-K for the fiscal year ended June 30, 2024, which was filed with the SEC on August 27, 2024 and is available on the SEC’s website at www.sec.gov.</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“Hain Celestial,” “we,” “us” or “our”)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baby/kids, beverages and meal preparation are marketed and sold in over 70 countries around the world. The Company operates under two reportable segments: North America and International.</w:t>
      </w:r>
    </w:p>
    <w:p>
      <w:pPr>
        <w:spacing w:after="0" w:line="15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s leading brands include Garden Veggie Snacks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Review</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 The Board is considering a broad range of strategic options to enhance value. Also, in the third quarter of fiscal year 2025, we announced that we were exploring strategic alternatives regarding our personal care business to focus on our portfolio of better-for-you food and beverages.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2024, we initiated a multi-year growth, transformation and restructuring program (the “Restructuring Program”) intended to drive shareholder returns. The savings initiatives impact our reportable segments and Corporate and Other. The program is intended to optimize our portfolio, improve underlying profitability and increase our flexibility to invest in targeted growth initiatives, brand building and other capabilities critical to delivering future growth.</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of the Restructuring Program is expected to be completed by the end of the 2027 fiscal year. Cumulative pretax charges associated with the Restructuring Program are expected to be $100 million - $110 million comprised of contract termination costs, asset write-downs, employee-related costs and other transformation-related expenses, which represents an increase of $10 million from the previously reported range. For the fiscal years ended June 30, 2025 and June 30, 2024, we incurred pretax charges of $26 million and $60 million, respectively, associated with the Restructuring Program.</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As part of the Restructuring Program, the Company completed the sale of three non-core brands and our investment in a joint venture during fiscal 2024 and fiscal 2025. We also announced the exit of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business in Canada, which is expected to be completed in the second quarter of fiscal 2026. We initiated actions to consolidate our personal care manufacturing footprint and exit our non-strategic joint venture in India, which were substantially completed in the first quarter of fiscal 2025. The Company also initiated actions to: (i) simplify its distribution footprint in the U.S.; (ii) rationalize certain product categories for greater capacity utilization, cost reduction and margin expansion; and (iii) reduce office space. Annualized pretax savings are expected to be $130 million - $150 million. The gross savings to date reflect operating model savings, productivity delivery and benefits from revenue growth management initiatives, offset by volume deleveraging and input cost inflation.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Succession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2025, the Company announced that Ms. Davidson departed as President and Chief Executive Officer and as a member of the Board effective May 6, 2025. The Hain Board is executing its leadership succession plan to identify the Company’s next CEO. The Board has a transition plan in place and has appointed Alison E. Lewis, a member of the Board since September 2024, as Interim President and CEO.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Environment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duration and intensity of inflation fluctuations, alterations in consumer shopping and consumption patterns, and shifts in geopolitical events, such as the ongoing Russia-Ukraine conflict, have led and may continue to lead to increased supply chain expenses and other business impacts. Moreover, our industry has experienced and is anticipating the possibility of further increased supply chain challenges, input cost increases and consumer and economic uncertainty as a result of U.S. government tariffs and the imposition of any counter-tariffs. We continually assess the nature and extent of these potential and evolving impacts on our business, consolidated operational results, liquidity, and capital resources.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Fiscal Year Ended June 30, 2025 to Fiscal Year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our results of operations, including as a percentage of net sales, on a consolidated basis, for the fiscal years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(dollars in thousands, other than per share amounts and percentages, which may not add due to rounding):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3"/>
          </w:tcPr>
          <w:p>
            <w:pPr>
              <w:jc w:val="right"/>
              <w:ind w:right="915"/>
              <w:spacing w:after="0"/>
              <w:rPr>
                <w:sz w:val="20"/>
                <w:szCs w:val="20"/>
                <w:color w:val="auto"/>
              </w:rPr>
            </w:pPr>
            <w:r>
              <w:rPr>
                <w:rFonts w:ascii="Times New Roman" w:cs="Times New Roman" w:eastAsia="Times New Roman" w:hAnsi="Times New Roman"/>
                <w:sz w:val="14"/>
                <w:szCs w:val="14"/>
                <w:b w:val="1"/>
                <w:bCs w:val="1"/>
                <w:color w:val="auto"/>
              </w:rPr>
              <w:t>Change in</w:t>
            </w:r>
          </w:p>
        </w:tc>
      </w:tr>
      <w:tr>
        <w:trPr>
          <w:trHeight w:val="142"/>
        </w:trPr>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1,559,780</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1,736,286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(176,506)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1,225,722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1,355,454</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(129,732)</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334,058</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380,832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(46,774)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271,833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428,882</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428,882</w:t>
            </w:r>
          </w:p>
        </w:tc>
        <w:tc>
          <w:tcPr>
            <w:tcW w:w="13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66,940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76,143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21,530</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27,741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6,476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09"/>
        </w:trPr>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(461,603)</w:t>
            </w:r>
          </w:p>
        </w:tc>
        <w:tc>
          <w:tcPr>
            <w:tcW w:w="12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1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(442,655)</w:t>
            </w:r>
          </w:p>
        </w:tc>
        <w:tc>
          <w:tcPr>
            <w:tcW w:w="100" w:type="dxa"/>
            <w:vAlign w:val="bottom"/>
            <w:tcBorders>
              <w:top w:val="single" w:sz="8" w:color="CFF0FC"/>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51,253</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875</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4,120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191"/>
        </w:trPr>
        <w:tc>
          <w:tcPr>
            <w:tcW w:w="34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color w:val="auto"/>
              </w:rPr>
              <w:t>Loss before income taxes and equity in net loss</w:t>
            </w:r>
          </w:p>
        </w:tc>
        <w:tc>
          <w:tcPr>
            <w:tcW w:w="8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r>
      <w:tr>
        <w:trPr>
          <w:trHeight w:val="23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of equity-method investees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(513,731)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(433,450)</w:t>
            </w:r>
          </w:p>
        </w:tc>
        <w:tc>
          <w:tcPr>
            <w:tcW w:w="13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15,297</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23,117</w:t>
            </w:r>
          </w:p>
        </w:tc>
        <w:tc>
          <w:tcPr>
            <w:tcW w:w="13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30"/>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(455,799)</w:t>
            </w:r>
          </w:p>
        </w:tc>
        <w:tc>
          <w:tcPr>
            <w:tcW w:w="13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113,789</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154,522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3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29"/>
        </w:trPr>
        <w:tc>
          <w:tcPr>
            <w:tcW w:w="3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360" w:type="dxa"/>
            <w:vAlign w:val="bottom"/>
            <w:gridSpan w:val="2"/>
            <w:shd w:val="clear" w:color="auto" w:fill="CFF0FC"/>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-1593850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-1593850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-1593850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-1593850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-1593850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-1174115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-1174115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-1174115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-1174115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-1174115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-471170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-453390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-471170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-453390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-471170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-453390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-471170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-453390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-471170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-453390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-25400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-8255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Percentage is not meaningful due to one or more amounts being negative.</w:t>
      </w:r>
    </w:p>
    <w:p>
      <w:pPr>
        <w:spacing w:after="0" w:line="29" w:lineRule="exact"/>
        <w:rPr>
          <w:sz w:val="20"/>
          <w:szCs w:val="20"/>
          <w:color w:val="auto"/>
        </w:rPr>
      </w:pPr>
    </w:p>
    <w:p>
      <w:pPr>
        <w:ind w:left="5540" w:right="3600" w:hanging="5532"/>
        <w:spacing w:after="0" w:line="871" w:lineRule="auto"/>
        <w:tabs>
          <w:tab w:leader="none" w:pos="239"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Percentage is not meaningful due to significantly lower number or nil value in the comparative period. </w:t>
      </w: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Sales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Net sales in fiscal 2025 were $1.56 billion, a decrease of $176.5 million, or 10.2%, from net sales of $1.74 billion in fiscal 2024. Results for fiscal 2025 included an unfavorable impact of $87.1 million, or 4.4%, related to divestitures, held for sale businesses, discontinued brands and exited product categories and a favorable impact of $11.6 million, or 0.7%, from foreign exchange, as compared to the prior year. Organic net sales, defined as net sales adjusted to exclude the impact of acquisitions, divestitures, held for sale businesses, discontinued brands, exited product categories and foreign exchange, decreased $101.0 million, or 6.5%, from the prior year. The decrease in each of net sales and organic net sales was primarily due to declines in both the North America and International reportable segments. Additionally, the decrease in organic net sales was comprised of a 4.9% decrease in volume/mix and a 1.6% decrease in price. Further details of changes in net sales by segment are provided below in the </w:t>
      </w:r>
      <w:r>
        <w:rPr>
          <w:rFonts w:ascii="Times New Roman" w:cs="Times New Roman" w:eastAsia="Times New Roman" w:hAnsi="Times New Roman"/>
          <w:sz w:val="18"/>
          <w:szCs w:val="18"/>
          <w:i w:val="1"/>
          <w:iCs w:val="1"/>
          <w:color w:val="auto"/>
        </w:rPr>
        <w:t>Segment Results</w:t>
      </w:r>
      <w:r>
        <w:rPr>
          <w:rFonts w:ascii="Times New Roman" w:cs="Times New Roman" w:eastAsia="Times New Roman" w:hAnsi="Times New Roman"/>
          <w:sz w:val="18"/>
          <w:szCs w:val="18"/>
          <w:color w:val="auto"/>
        </w:rPr>
        <w:t xml:space="preserve"> section.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 fiscal 2025 was $334.1 million, a decrease of $46.8 million, or 12.3%, from $380.8 million in fiscal 2024. Gross profit margin was 21.4% of net sales, compared to 21.9% in the prior year. The decrease in gross profit was driven primarily by the North America reportable segment, mainly due to volume and mix softness along with higher trade spend and inflation, partially offset by productivity improvements. Gross profit also decreased in the International reportable segment mainly due to inflation and volume and mix softness, partially offset by productivity and pricing.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were $271.8 million in fiscal 2025, a decrease of $18.3 million, or 6.3%, from $290.1 million in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due to lower broker expenses, employee-related expenses and professional fees.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 Impairment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 result of a significant reduction in actual and projected performance and cash flows, as well as the continued decline in the Company’s market capitalization in fiscal 2025, the Company completed quantitative impairment tests for goodwill ascribed to all its reporting units at various times throughout fiscal 2025. Consequently, the Company recorded aggregate non-cash goodwill impairment charges of $357.7 million within the North America segment related to such reporting units and $71.2 million within the International segment related to its U.K. reporting unit. See Note 9,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Intangible Assets</w:t>
      </w:r>
      <w:r>
        <w:rPr>
          <w:rFonts w:ascii="Times New Roman" w:cs="Times New Roman" w:eastAsia="Times New Roman" w:hAnsi="Times New Roman"/>
          <w:sz w:val="18"/>
          <w:szCs w:val="18"/>
          <w:color w:val="auto"/>
        </w:rPr>
        <w:t>, in the Notes to Consolidated Financial Statements included in Item 8 of this Form 10-K.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Intangibles and Long-Lived Asset Impairment</w:t>
      </w:r>
    </w:p>
    <w:p>
      <w:pPr>
        <w:spacing w:after="0" w:line="18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During the fiscal year ended June 30, 2025, the Company recognized aggregate non-cash impairment charges of $66.9 million, including (i) $37.8 million related to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Belvedere™ ,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Health Valley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certain North America personal care intangible assets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(ii) a $26.8 million charge primarily related to the personal care assets held for sale. See Note 4, </w:t>
      </w:r>
      <w:r>
        <w:rPr>
          <w:rFonts w:ascii="Times New Roman" w:cs="Times New Roman" w:eastAsia="Times New Roman" w:hAnsi="Times New Roman"/>
          <w:sz w:val="18"/>
          <w:szCs w:val="18"/>
          <w:i w:val="1"/>
          <w:iCs w:val="1"/>
          <w:color w:val="auto"/>
        </w:rPr>
        <w:t>Assets and Liabilities Held for Sale</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and Note 16,</w:t>
      </w:r>
      <w:r>
        <w:rPr>
          <w:rFonts w:ascii="Times New Roman" w:cs="Times New Roman" w:eastAsia="Times New Roman" w:hAnsi="Times New Roman"/>
          <w:sz w:val="18"/>
          <w:szCs w:val="18"/>
          <w:i w:val="1"/>
          <w:iCs w:val="1"/>
          <w:color w:val="auto"/>
        </w:rPr>
        <w:t xml:space="preserve"> Fair Value Measurements</w:t>
      </w:r>
      <w:r>
        <w:rPr>
          <w:rFonts w:ascii="Times New Roman" w:cs="Times New Roman" w:eastAsia="Times New Roman" w:hAnsi="Times New Roman"/>
          <w:sz w:val="18"/>
          <w:szCs w:val="18"/>
          <w:color w:val="auto"/>
        </w:rPr>
        <w:t>, in the Notes to the Consolidated Financial Statements included in Item 8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Form 10-K.</w:t>
      </w:r>
    </w:p>
    <w:p>
      <w:pPr>
        <w:spacing w:after="0" w:line="17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During the fiscal year ended June 30, 2024, the Company recognized aggregate non-cash impairment charges of $76.1 million, including (i) $44.6 million primarily related to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Happy™, and certain North America personal care intangible assets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(ii) a $20.7 million charge related to our Bell, CA production facility in the North America reportable segment.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Note 9,</w:t>
      </w:r>
      <w:r>
        <w:rPr>
          <w:rFonts w:ascii="Times New Roman" w:cs="Times New Roman" w:eastAsia="Times New Roman" w:hAnsi="Times New Roman"/>
          <w:sz w:val="18"/>
          <w:szCs w:val="18"/>
          <w:i w:val="1"/>
          <w:iCs w:val="1"/>
          <w:color w:val="auto"/>
        </w:rPr>
        <w:t xml:space="preserve"> Goodwill and Other Intangible Assets, </w:t>
      </w:r>
      <w:r>
        <w:rPr>
          <w:rFonts w:ascii="Times New Roman" w:cs="Times New Roman" w:eastAsia="Times New Roman" w:hAnsi="Times New Roman"/>
          <w:sz w:val="18"/>
          <w:szCs w:val="18"/>
          <w:color w:val="auto"/>
        </w:rPr>
        <w:t>and Note 16,</w:t>
      </w:r>
      <w:r>
        <w:rPr>
          <w:rFonts w:ascii="Times New Roman" w:cs="Times New Roman" w:eastAsia="Times New Roman" w:hAnsi="Times New Roman"/>
          <w:sz w:val="18"/>
          <w:szCs w:val="18"/>
          <w:i w:val="1"/>
          <w:iCs w:val="1"/>
          <w:color w:val="auto"/>
        </w:rPr>
        <w:t xml:space="preserve"> Fair Value Measurements</w:t>
      </w:r>
      <w:r>
        <w:rPr>
          <w:rFonts w:ascii="Times New Roman" w:cs="Times New Roman" w:eastAsia="Times New Roman" w:hAnsi="Times New Roman"/>
          <w:sz w:val="18"/>
          <w:szCs w:val="18"/>
          <w:color w:val="auto"/>
        </w:rPr>
        <w:t>, in the Notes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Item 8 of this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Productivity and Transformation Costs</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Productivity and transformation costs were $21.5 million in fiscal 2025, a decrease of $6.2 million or 22.4% from $27.7 million in fiscal 2024. The decrease primarily reflected a reduction in restructuring costs incurred in connection with the Restructuring Program.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Productivity and transformation costs of $21.5 million in fiscal 2025 were primarily comprised of consultancy and employee-related costs in the amount of $13.2 million and $8.3 million, respectively. See Note 19, </w:t>
      </w:r>
      <w:r>
        <w:rPr>
          <w:rFonts w:ascii="Times New Roman" w:cs="Times New Roman" w:eastAsia="Times New Roman" w:hAnsi="Times New Roman"/>
          <w:sz w:val="18"/>
          <w:szCs w:val="18"/>
          <w:i w:val="1"/>
          <w:iCs w:val="1"/>
          <w:color w:val="auto"/>
        </w:rPr>
        <w:t>Transformation Program,</w:t>
      </w:r>
      <w:r>
        <w:rPr>
          <w:rFonts w:ascii="Times New Roman" w:cs="Times New Roman" w:eastAsia="Times New Roman" w:hAnsi="Times New Roman"/>
          <w:sz w:val="18"/>
          <w:szCs w:val="18"/>
          <w:color w:val="auto"/>
        </w:rPr>
        <w:t xml:space="preserve"> in the Notes to the Consolidated Financial Statements included in Item 8 of this Form 10-K.</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Amortization of Acquired Intangible Assets</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Amortization of acquired intangibles was $6.5 million in fiscal 2025, an increase of $0.7 million, or 12.0%, from $5.8 million in fiscal 2024. The increase was due to the fact that during the fourth quarter of fiscal 2024, personal care tradenames and MaraNatha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Happy</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were reclassified from indefinite to definite-lived and ascribed a useful life of 10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loss in fiscal 2025 was $461.6 million compared to $18.9 million in fiscal 2024 due to the items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and Other Financing Expense, Net</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Interest and other financing expense, net totaled $51.3 million in fiscal 2025, a decrease of $6.0 million, or 10.4%, from $57.2 million in the prior year. The decrease resulted primarily from a lower outstanding debt balance and the impact of a reduction in borrowing rates compared to the prior year. See Note 11,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Item 8 of this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Expense, Net</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Other expense, net was $0.9 million in fiscal 2025, compared to $4.1 million in the prior year. Other expense, net in fiscal 2025 reflected a $5.4 million pretax gain from the sale of the Company’s minority equity interest in Chop’t Creative Salad Company LLC, predecessor to Founders Table, and a $1.6 million pretax gain on the sale of assets related to the Company’s former Bell, CA production facility. These gains were partially offset by a $3.9 million pretax loss recognized on the sale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net foreign currency losses. Other expense, net in fiscal 2024 primarily reflected losses on the dispositions of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cookie business and Queen Helene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partially offset by net foreign currency gains. See Note 5, </w:t>
      </w:r>
      <w:r>
        <w:rPr>
          <w:rFonts w:ascii="Times New Roman" w:cs="Times New Roman" w:eastAsia="Times New Roman" w:hAnsi="Times New Roman"/>
          <w:sz w:val="18"/>
          <w:szCs w:val="18"/>
          <w:i w:val="1"/>
          <w:iCs w:val="1"/>
          <w:color w:val="auto"/>
        </w:rPr>
        <w:t>Dispositions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the Notes to Consolidated Financial Statements included in Item 8 of this Form 10-K.</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Loss Before Income Taxes and Equity in Net Loss of Equity-Method Investees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before income taxes and equity in the net loss of our equity-method investees for fiscal 2025 was $513.7 million compared to $80.3 million in fiscal 2024. The decrease was due to the items discussed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Provision (benefit) for Income Taxes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(benefit) for income taxes includes federal, foreign, state and local income taxes. Our income tax expense was $15.3 million for fiscal 2025 compared to a benefit of $7.8 million for fiscal 2024. Income tax in fiscal 2025 reflected current tax on operations in certain jurisdictions and an increase in the accrual for uncertain tax positions, partially offset by a release in the valuation allowance against certain deferred tax assets. We did not record income tax benefits for losses incurred in certain jurisdictions, as it is not more likely than not that we will utilize such benefits due to the combination of our history of pretax losses and our inability to carry forward or carry back tax losses or credits.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was an expense of 3.0% and a benefit of 9.7% for the fiscal year ended June 30, 2025 and 2024, respectively. The effective income tax rate for the year ended June 30, 2025 was primarily impacted by the recognition of a valuation allowance as a result of the reduction in deferred tax liabilities due to the above-noted impairment charges on intangible assets and recognition of uncertain tax positions.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year ended June 30, 2024 was primarily impacted by the recognition of a valuation allowance against deferred tax assets.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effective tax rate may change from period-to-period based on recurring and nonrecurring factors including the geographical mix of earnings, enacted tax legislation, state and local income taxes and tax audit settlements.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Consolidated Financial Statements included in Item 8 of this Form 10-K for additional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 Net Loss of Equity-Method Investees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equity in the net loss from our equity method investments for fiscal 2025 was $1.8 million compared to $2.6 million for fiscal 2024. See Note 15,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in the Notes to Consolidated Financial Statements included in Item 8 of this Form 10-K.</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for fiscal 2025 was $530.8 million, or $5.91 per diluted share, compared to $75.0 million, or $0.84 per diluted share, in fiscal 2024. The change was attributable to the factors noted above.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Our consolidated Adjusted EBITDA was $113.8 million and $154.5 million for fiscal 2025 and 2024, respectively, as a result of the factors discussed above. See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for definitions and a reconciliation of our net income to Adjusted EBITDA.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net sales and Adjusted EBITDA by reportable segment for the fiscal years ended June 30,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3"/>
        </w:trPr>
        <w:tc>
          <w:tcPr>
            <w:tcW w:w="334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89"/>
        </w:trPr>
        <w:tc>
          <w:tcPr>
            <w:tcW w:w="7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Net Sales</w:t>
            </w:r>
          </w:p>
        </w:tc>
        <w:tc>
          <w:tcPr>
            <w:tcW w:w="2640" w:type="dxa"/>
            <w:vAlign w:val="bottom"/>
            <w:tcBorders>
              <w:bottom w:val="single" w:sz="8" w:color="CFF0FC"/>
            </w:tcBorders>
            <w:gridSpan w:val="3"/>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3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r>
      <w:tr>
        <w:trPr>
          <w:trHeight w:val="216"/>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888,626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671,154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1,559,780</w:t>
            </w:r>
          </w:p>
        </w:tc>
      </w:tr>
      <w:tr>
        <w:trPr>
          <w:trHeight w:val="216"/>
        </w:trPr>
        <w:tc>
          <w:tcPr>
            <w:tcW w:w="33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1,055,527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680,759</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1,736,286</w:t>
            </w:r>
          </w:p>
        </w:tc>
      </w:tr>
      <w:tr>
        <w:trPr>
          <w:trHeight w:val="20"/>
        </w:trPr>
        <w:tc>
          <w:tcPr>
            <w:tcW w:w="7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10"/>
        </w:trPr>
        <w:tc>
          <w:tcPr>
            <w:tcW w:w="3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(166,901)</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(9,605)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(176,506)</w:t>
            </w:r>
          </w:p>
        </w:tc>
      </w:tr>
      <w:tr>
        <w:trPr>
          <w:trHeight w:val="216"/>
        </w:trPr>
        <w:tc>
          <w:tcPr>
            <w:tcW w:w="3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3340" w:type="dxa"/>
            <w:vAlign w:val="bottom"/>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rPr>
              <w:t>Adjusted EBITDA</w:t>
            </w: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r>
      <w:tr>
        <w:trPr>
          <w:trHeight w:val="216"/>
        </w:trPr>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980" w:type="dxa"/>
            <w:vAlign w:val="bottom"/>
            <w:tcBorders>
              <w:top w:val="single" w:sz="8" w:color="CFF0FC"/>
            </w:tcBorders>
            <w:gridSpan w:val="2"/>
          </w:tcPr>
          <w:p>
            <w:pPr>
              <w:spacing w:after="0"/>
              <w:rPr>
                <w:sz w:val="18"/>
                <w:szCs w:val="18"/>
                <w:color w:val="auto"/>
              </w:rPr>
            </w:pPr>
          </w:p>
        </w:tc>
        <w:tc>
          <w:tcPr>
            <w:tcW w:w="15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FF0FC"/>
            </w:tcBorders>
          </w:tcPr>
          <w:p>
            <w:pPr>
              <w:jc w:val="right"/>
              <w:ind w:right="132"/>
              <w:spacing w:after="0"/>
              <w:rPr>
                <w:sz w:val="20"/>
                <w:szCs w:val="20"/>
                <w:color w:val="auto"/>
              </w:rPr>
            </w:pPr>
            <w:r>
              <w:rPr>
                <w:rFonts w:ascii="Times New Roman" w:cs="Times New Roman" w:eastAsia="Times New Roman" w:hAnsi="Times New Roman"/>
                <w:sz w:val="18"/>
                <w:szCs w:val="18"/>
                <w:color w:val="auto"/>
              </w:rPr>
              <w:t>65,470</w:t>
            </w:r>
          </w:p>
        </w:tc>
        <w:tc>
          <w:tcPr>
            <w:tcW w:w="3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tcPr>
          <w:p>
            <w:pPr>
              <w:jc w:val="right"/>
              <w:ind w:right="112"/>
              <w:spacing w:after="0"/>
              <w:rPr>
                <w:sz w:val="20"/>
                <w:szCs w:val="20"/>
                <w:color w:val="auto"/>
              </w:rPr>
            </w:pPr>
            <w:r>
              <w:rPr>
                <w:rFonts w:ascii="Times New Roman" w:cs="Times New Roman" w:eastAsia="Times New Roman" w:hAnsi="Times New Roman"/>
                <w:sz w:val="18"/>
                <w:szCs w:val="18"/>
                <w:color w:val="auto"/>
              </w:rPr>
              <w:t>86,000</w:t>
            </w:r>
          </w:p>
        </w:tc>
        <w:tc>
          <w:tcPr>
            <w:tcW w:w="300" w:type="dxa"/>
            <w:vAlign w:val="bottom"/>
            <w:tcBorders>
              <w:top w:val="single" w:sz="8" w:color="CFF0FC"/>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FF0FC"/>
            </w:tcBorders>
          </w:tcPr>
          <w:p>
            <w:pPr>
              <w:jc w:val="right"/>
              <w:ind w:right="13"/>
              <w:spacing w:after="0"/>
              <w:rPr>
                <w:sz w:val="20"/>
                <w:szCs w:val="20"/>
                <w:color w:val="auto"/>
              </w:rPr>
            </w:pPr>
            <w:r>
              <w:rPr>
                <w:rFonts w:ascii="Times New Roman" w:cs="Times New Roman" w:eastAsia="Times New Roman" w:hAnsi="Times New Roman"/>
                <w:sz w:val="18"/>
                <w:szCs w:val="18"/>
                <w:color w:val="auto"/>
              </w:rPr>
              <w:t>(37,681)</w:t>
            </w:r>
          </w:p>
        </w:tc>
        <w:tc>
          <w:tcPr>
            <w:tcW w:w="32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FF0FC"/>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113,789</w:t>
            </w:r>
          </w:p>
        </w:tc>
      </w:tr>
      <w:tr>
        <w:trPr>
          <w:trHeight w:val="216"/>
        </w:trPr>
        <w:tc>
          <w:tcPr>
            <w:tcW w:w="33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98,728</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112"/>
              <w:spacing w:after="0"/>
              <w:rPr>
                <w:sz w:val="20"/>
                <w:szCs w:val="20"/>
                <w:color w:val="auto"/>
              </w:rPr>
            </w:pPr>
            <w:r>
              <w:rPr>
                <w:rFonts w:ascii="Times New Roman" w:cs="Times New Roman" w:eastAsia="Times New Roman" w:hAnsi="Times New Roman"/>
                <w:sz w:val="18"/>
                <w:szCs w:val="18"/>
                <w:color w:val="auto"/>
              </w:rPr>
              <w:t>94,974</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(39,180)</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32"/>
              <w:spacing w:after="0"/>
              <w:rPr>
                <w:sz w:val="20"/>
                <w:szCs w:val="20"/>
                <w:color w:val="auto"/>
              </w:rPr>
            </w:pPr>
            <w:r>
              <w:rPr>
                <w:rFonts w:ascii="Times New Roman" w:cs="Times New Roman" w:eastAsia="Times New Roman" w:hAnsi="Times New Roman"/>
                <w:sz w:val="18"/>
                <w:szCs w:val="18"/>
                <w:color w:val="auto"/>
              </w:rPr>
              <w:t>154,522</w:t>
            </w:r>
          </w:p>
        </w:tc>
      </w:tr>
      <w:tr>
        <w:trPr>
          <w:trHeight w:val="20"/>
        </w:trPr>
        <w:tc>
          <w:tcPr>
            <w:tcW w:w="7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210"/>
        </w:trPr>
        <w:tc>
          <w:tcPr>
            <w:tcW w:w="33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4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(33,258)</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(8,974)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1,499</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(40,733)</w:t>
            </w:r>
          </w:p>
        </w:tc>
      </w:tr>
      <w:tr>
        <w:trPr>
          <w:trHeight w:val="216"/>
        </w:trPr>
        <w:tc>
          <w:tcPr>
            <w:tcW w:w="3340" w:type="dxa"/>
            <w:vAlign w:val="bottom"/>
            <w:gridSpan w:val="4"/>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change</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1920" w:type="dxa"/>
            <w:vAlign w:val="bottom"/>
            <w:tcBorders>
              <w:bottom w:val="single" w:sz="8" w:color="auto"/>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auto"/>
                <w:w w:val="99"/>
              </w:rPr>
              <w:t>Adjusted EBITDA margin</w:t>
            </w:r>
          </w:p>
        </w:tc>
        <w:tc>
          <w:tcPr>
            <w:tcW w:w="142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spacing w:after="0"/>
              <w:rPr>
                <w:sz w:val="17"/>
                <w:szCs w:val="17"/>
                <w:color w:val="auto"/>
              </w:rPr>
            </w:pPr>
          </w:p>
        </w:tc>
      </w:tr>
      <w:tr>
        <w:trPr>
          <w:trHeight w:val="216"/>
        </w:trPr>
        <w:tc>
          <w:tcPr>
            <w:tcW w:w="3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Fiscal 2025</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3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2024</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-1662430</wp:posOffset>
            </wp:positionV>
            <wp:extent cx="93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-1662430</wp:posOffset>
            </wp:positionV>
            <wp:extent cx="93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-1662430</wp:posOffset>
            </wp:positionV>
            <wp:extent cx="93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-831215</wp:posOffset>
            </wp:positionV>
            <wp:extent cx="93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-831215</wp:posOffset>
            </wp:positionV>
            <wp:extent cx="93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-831215</wp:posOffset>
            </wp:positionV>
            <wp:extent cx="93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Reconciliation of Non-U.S. GAAP Financial Measures to U.S. GAAP Measures</w:t>
      </w:r>
      <w:r>
        <w:rPr>
          <w:rFonts w:ascii="Times New Roman" w:cs="Times New Roman" w:eastAsia="Times New Roman" w:hAnsi="Times New Roman"/>
          <w:sz w:val="18"/>
          <w:szCs w:val="18"/>
          <w:color w:val="auto"/>
        </w:rPr>
        <w:t xml:space="preserve"> following the discussion of our results of operations and Note 21,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in the Notes to the Consolidated Financial Statements included in Item 8 of this Form 10-K for a reconciliation of segment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North America</w:t>
      </w: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in the North America reportable segment for fiscal 2025 were $888.6 million, a decrease of $166.9 million, or 15.8%, including an unfavorable impact of $85.2 million, or 6.4%, related to divestitures, held for sale businesses, discontinued brands and exited product categories, as compared to the prior year. Organic net sales decreased $79.6 million, or 9.2%, to $788.9 million from $868.5 million in the prior year.</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net sales was primarily due to lower sales in the snacks, meal preparation and personal care categories. The decrease in organic net sales was largely attributable to softness in the snacks category, as a result of velocity challenges and distribution losses, and to a lesser extent, by lower sales in the meal preparation category. The decline in meal preparation was primarily driven by softness in oils and nut butters, partially offset by growth in yogurt.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in fiscal 2025 was $65.5 million, a decrease of $33.2 million from $98.7 million in fiscal 2024. The decrease was primarily related to volume and mix softness along with higher trade spend, partially offset by productivity initiatives and a reduction in selling, general, and administrative expenses, mainly due to lower selling expenses and employee-related costs. Adjusted EBITDA margin was 7.1%, a 200-basis point decrease from the prior year.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International reportable segment for fiscal 2025 were $671.2 million, a decrease of $9.6 million, or 1.4%, including a favorable impact of $13.7 million or 2.0% related to foreign exchange, as compared to the prior year. Organic net sales decreased $21.4 million, or 3.2%, to $654.7 million from $676.1 million in fiscal 2024.</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for fiscal 2025 was primarily driven by lower sales in the beverage and snacks categories. Organic net sales also declined, mainly due to softness in the meal preparation and beverages categories. The decline in meal preparation was primarily driven by lower sales in meat-free and private label spreads and drizzles, partially offset by growth in soups in the United Kingdom. The decline in beverages was primarily driven by softness in private label non-dairy beverage in Western Europe.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in fiscal 2025 was $86.0 million, a decrease of $9.0 million from $95.0 million in fiscal 2024. The decrease was primarily driven by inflation and volume and mix softness, partially offset by productivity and pricing. Adjusted EBITDA margin was 12.8%, a 120-basis point decrease from the prior year.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decrease in Corporate and Other expenses primarily reflected lower consulting charges and employee-related expenses. Refer to Note 21,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in the Notes to the Consolidated Financial Statements included in Item 8 of this Form 10-K for additional details.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finance our operations and growth primarily with the cash flows we generate from our operations and from borrowings available to us under our Credit Agreement (as defined below). We believe that our cash flows from operations and borrowing capacity under our Credit Agreement (as defined below) will be adequate to meet anticipated operating and other expenditures for the foreseeable future. See Note 11, </w:t>
      </w:r>
      <w:r>
        <w:rPr>
          <w:rFonts w:ascii="Times New Roman" w:cs="Times New Roman" w:eastAsia="Times New Roman" w:hAnsi="Times New Roman"/>
          <w:sz w:val="18"/>
          <w:szCs w:val="18"/>
          <w:i w:val="1"/>
          <w:iCs w:val="1"/>
          <w:color w:val="auto"/>
        </w:rPr>
        <w:t>Debt and Borrowings</w:t>
      </w:r>
      <w:r>
        <w:rPr>
          <w:rFonts w:ascii="Times New Roman" w:cs="Times New Roman" w:eastAsia="Times New Roman" w:hAnsi="Times New Roman"/>
          <w:sz w:val="18"/>
          <w:szCs w:val="18"/>
          <w:color w:val="auto"/>
        </w:rPr>
        <w:t>, in the Notes to the Consolidated Financial Statements included in Item 8 of this Form 10-K.</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Amended and Restated Credit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 million in the aggregate, consisting of (1) $300.0 million in aggregate principal amount of term loans (the “Term Loans”) and (2) an $800.0 million senior secured revolving credit facility (which includes borrowing capacity available for letters of credit, and was originally comprised of a $440.0 million U.S. revolving credit facility and $360.0 million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until June 30, 2025 and is 5.50:1.00 for the quarter ending September 30, 2025 and thereafter. Pursuant to the Credit Agreement, the Company’s maximum consolidated leverage ratio is 6.00:1.00 and, through June 30, 2025, its minimum interest coverage ratio was 2.50:1.00. As of June 30, 2025, the Company’s consolidated secured leverage ratio, consolidated leverage ratio and consolidated interest coverage ratio were 4.69:1.00, 4.69:1.00 and 2.93:1.00, respectively, and the Company was in compliance with all associated covenants. The aforementioned financial covenants are being reported as calculated under the Credit Agreement and not pursuant to accounting principles generally accepted in the U.S. (“GAAP”). Please refer to the Credit Agreement and amendments filed as exhibits to this Form 10-K for further information related to the calculation thereof. For risks related to our indebtedness and compliance with these covenants, please refer to the risk factor “Any default under our credit agreement or inability to refinance our indebtedness could have significant consequences” set forth in Part I, Item 1A, “Risk Factors” of this Form 10-K.</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 million to $700.0 million in the aggregate, with the U.S. revolving credit facility reduced from $440.0 million to $385.0 million and the global revolving credit facility reduced from $360.0 million to $315.0 million.</w:t>
      </w:r>
    </w:p>
    <w:p>
      <w:pPr>
        <w:spacing w:after="0" w:line="9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 million for the quarter ending September 30, 2025 and (ii) $52.0 million for the cumulative two quarters ending September 30, 2025 and on December 31, 2025. The aforementioned financial covenants use financial measures that are defined under the Credit Agreement and not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GAAP. Please refer to the Credit Agreement and amendments filed as exhibits to this Form 10-K for further information related to the calculation thereof.</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 million to $600.0 million in the aggregate, with the U.S. revolving credit facility reduced from $385.0 million to $330.0 million and the global revolving credit facility reduced from $315.0 million to $270.0 million.</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June 30, 2025 was 7.34%. The Company uses interest rate swaps to hedge a portion of the interest rate risk related to its outstanding variable rate debt. As of June 30, 2025, the notional amount of the interest rate swaps was $400.0 million with fixed rate payments of 6.12%. Including the impact of hedges, the weighted average interest rate on outstanding borrowings under the Credit Agreement at June 30, 2025 was 6.41%. Additionally, the Credit Agreement contains a commitment fee of 0.25% per annum on the amount unused under the Credit Agreement.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were $450.5 million of loans under the Revolver, $255.6 million of Term Loans, and $2.8 million of letters of credit outstanding under the Credit Agreement. As of June 30, 2025 and June 30, 2024, $246.7 million and $321.8 million, respectively, was available under the Credit Agreement, subject to compliance with the financial covenants. As of June 30, 2025, the Company was in compliance with all associated covenants.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cash and cash equivalents balance was relatively consistent at June 30, 2025 at $54.4 million as compared to $54.3 million at June 30, 2024. Our working capital was $252.9 million at June 30, 2025, a decrease of $22.7 million from $275.6 million at the end of fiscal 2024. Additionally, our total debt decreased by $39.3 million at June 30, 2025 to $704.8 million as compared to $744.1 million at June 30, 2024 as a result of net repayments carried out during the year.</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the U.S., U.K., Canada, Western Europe, the Middle East and India. As of June 30, 2025, substantially all cash was held outside of the U.S.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our cash and cash equivalents primarily in money market funds or their equivalent. Accordingly, we do not believe that our investments have significant exposure to interest rate risk.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Provided by (Used in) Operating, Investing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(used in) operating, investing and financing activities is summarized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3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Change in Dollars</w:t>
            </w: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22,115</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116,355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27,541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45,843</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18,200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19,961</w:t>
            </w: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was $22.1 million for the fiscal year ended June 30, 2025, a decrease of $94.2 million from cash provided by operating activities of $116.4 million in the prior year. This decrease in cash provided by operating activities versus the prior year resulted primarily from a reduction in cash earnings and higher cash utilization of $41.6 million for our working capital accounts, which was mainly due to higher inventory and a reduced benefit from accounts payable and accrued expenses, partially offset by an increase in accounts receivable recovery.</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$3.6 million for the fiscal year ended June 30, 2025, an increase of $27.5 million from cash used in investing activities of $23.9 million in the prior year. The increase in cash provided by investing activities was primarily driven by the 2025 receipt of sale proceeds and dividends from the sale of our equity method investment of $12.6 million, an $8.2 million reduction in capital expenditures, and an increase in proceeds from asset sales of $4.4 million. See Note 5, Dispositions and Note 15, Investments, in the Notes to the Consolidated Financial Statements included in Item 8 of this Form 10-K.</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$43.9 million for the fiscal year ended June 30, 2025, a decrease of $45.8 million compared to $89.7 million in the prior year, primarily reflecting a reduction in the repayment of borrowings.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Free Cash Flow was negative $3.2 million for fiscal 2025, a decrease of $86.1 million from fiscal 2024. This year-over-year decline was primarily driven by a $94.2 million reduction in cash flows from operating activities, as explained above, partially offset by lower capital expenditures. See the </w:t>
      </w:r>
      <w:r>
        <w:rPr>
          <w:rFonts w:ascii="Times New Roman" w:cs="Times New Roman" w:eastAsia="Times New Roman" w:hAnsi="Times New Roman"/>
          <w:sz w:val="18"/>
          <w:szCs w:val="18"/>
          <w:i w:val="1"/>
          <w:iCs w:val="1"/>
          <w:color w:val="auto"/>
        </w:rPr>
        <w:t xml:space="preserve">Reconciliation of Non-U.S. GAAP Financial Measures to U.S. GAAP Measures </w:t>
      </w:r>
      <w:r>
        <w:rPr>
          <w:rFonts w:ascii="Times New Roman" w:cs="Times New Roman" w:eastAsia="Times New Roman" w:hAnsi="Times New Roman"/>
          <w:sz w:val="18"/>
          <w:szCs w:val="18"/>
          <w:color w:val="auto"/>
        </w:rPr>
        <w:t>following the discussion of our results of operations for definitions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reconciliation from our net cash provided by operating activities to Free Cash Flow.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fiscal year ended June 30, 2025, the Company did not repurchase any shares under the repurchase program. As of June 30, 2025, the Company had $173.5 million of remaining authorization under the share repurchase program.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 to U.S. GAAP Measures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this report measures of financial performance that are not defined by U.S. GAAP. We believe that these measures provide useful information to investors and include these measures in other communications to investors.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each of these non-U.S. GAAP financial measures, we are providing below a reconciliation of the differences between the non-U.S. GAAP measure and the most directly comparable U.S. GAAP measure, an explanation of why our management and Board of Directors believe the non-U.S. GAAP measure provides useful information to investors and any additional purposes for which our management and Board of Directors use the non-U.S. GAAP measures. These non-U.S. GAAP measures should</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viewed in addition to, and not in lieu of, the comparable U.S. GAAP measures.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Organic Net Sales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noted above, we define organic net sales as net sales excluding the impact of acquisitions, divestitures, held for sale businesses, discontinued brands, exited product categories and foreign exchange. To adjust organic net sales for the impact of acquisitions, the net sales of an acquired business are excluded from fiscal quarters constituting or falling within the current period and prior period where the applicable fiscal quarter in the prior period did not include the acquired business for the entire quarter. To adjust organic net sales for the impact of divestitures, held for sale businesses, discontinued brands and exited product categories, the net sales of a divested business, held for sale business, discontinued brand or exited product category are excluded from all periods. To adjust organic net sales for the impact of foreign exchange,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between reported net sales and organic net sales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5"/>
                <w:szCs w:val="15"/>
                <w:color w:val="auto"/>
              </w:rPr>
            </w:pPr>
          </w:p>
        </w:tc>
        <w:tc>
          <w:tcPr>
            <w:tcW w:w="15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Hain Consolidated</w:t>
            </w: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 Twelve months ended June 30,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888,626</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671,154</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1,559,780</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 exited</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140" w:type="dxa"/>
            <w:vAlign w:val="bottom"/>
          </w:tcPr>
          <w:p>
            <w:pPr>
              <w:spacing w:after="0"/>
              <w:rPr>
                <w:sz w:val="20"/>
                <w:szCs w:val="20"/>
                <w:color w:val="auto"/>
              </w:rPr>
            </w:pP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101,789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2,771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104,560</w:t>
            </w: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1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92"/>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13,691</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11,617</w:t>
            </w: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Organic net sales - Twelve months ended June 30,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788,911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654,692</w:t>
            </w:r>
          </w:p>
        </w:tc>
        <w:tc>
          <w:tcPr>
            <w:tcW w:w="46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1,443,603</w:t>
            </w:r>
          </w:p>
        </w:tc>
      </w:tr>
      <w:tr>
        <w:trPr>
          <w:trHeight w:val="20"/>
        </w:trPr>
        <w:tc>
          <w:tcPr>
            <w:tcW w:w="6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 - Twelve months ended June 30,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1,055,527</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680,759</w:t>
            </w:r>
          </w:p>
        </w:tc>
        <w:tc>
          <w:tcPr>
            <w:tcW w:w="46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1,736,286</w:t>
            </w:r>
          </w:p>
        </w:tc>
      </w:tr>
      <w:tr>
        <w:trPr>
          <w:trHeight w:val="198"/>
        </w:trPr>
        <w:tc>
          <w:tcPr>
            <w:tcW w:w="6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 exited</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4"/>
        </w:trPr>
        <w:tc>
          <w:tcPr>
            <w:tcW w:w="6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186,979</w:t>
            </w:r>
          </w:p>
        </w:tc>
        <w:tc>
          <w:tcPr>
            <w:tcW w:w="14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4,709</w:t>
            </w:r>
          </w:p>
        </w:tc>
        <w:tc>
          <w:tcPr>
            <w:tcW w:w="14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191,688</w:t>
            </w:r>
          </w:p>
        </w:tc>
      </w:tr>
      <w:tr>
        <w:trPr>
          <w:trHeight w:val="249"/>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Organic net sales - Twelve months ended June 30, 2024</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868,548</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rPr>
              <w:t>676,050</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1,544,598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-890905</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-890905</wp:posOffset>
            </wp:positionV>
            <wp:extent cx="939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939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939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-170815</wp:posOffset>
            </wp:positionV>
            <wp:extent cx="939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-170815</wp:posOffset>
            </wp:positionV>
            <wp:extent cx="939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sales decline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Impact of divestitures, held for sale businesses, discontinued brands and exited</w:t>
            </w: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r>
      <w:tr>
        <w:trPr>
          <w:trHeight w:val="234"/>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categories</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 Impact of foreign currency exchange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Organic net sales decline</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939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939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939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939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Adjusted EBITDA</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Adjusted EBITDA as net loss before net interest expense, income taxes, depreciation and amortization, equity in net loss of equity investees, stock-based compensation, net, unrealized and certain realized currency losses, certain litigation expenses, net, CEO succession costs, plant closure related costs, net, warehouse and manufacturing consolidation and other costs, net, productivity and transformation costs, costs associated with acquisitions, divestitures and other transactions, (gains) losses on sales of assets, goodwill impairment, intangibles and long-lived asset impairment and other adjustments. The Company’s management believes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 Adjusted EBITDA is a non-U.S. GAAP measure and may not be comparable to similarly titled measures reported by other companies.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U.S.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U.S. GAAP results.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net loss to Adjusted EBITDA is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16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612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54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0" w:type="dxa"/>
            <w:vAlign w:val="bottom"/>
          </w:tcPr>
          <w:p>
            <w:pPr>
              <w:spacing w:after="0"/>
              <w:rPr>
                <w:sz w:val="1"/>
                <w:szCs w:val="1"/>
                <w:color w:val="auto"/>
              </w:rPr>
            </w:pPr>
          </w:p>
        </w:tc>
      </w:tr>
      <w:tr>
        <w:trPr>
          <w:trHeight w:val="43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44,259</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44,665</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1,813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47,773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54,232</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15,297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12,704</w:t>
            </w:r>
          </w:p>
        </w:tc>
        <w:tc>
          <w:tcPr>
            <w:tcW w:w="0" w:type="dxa"/>
            <w:vAlign w:val="bottom"/>
          </w:tcPr>
          <w:p>
            <w:pPr>
              <w:spacing w:after="0"/>
              <w:rPr>
                <w:sz w:val="1"/>
                <w:szCs w:val="1"/>
                <w:color w:val="auto"/>
              </w:rPr>
            </w:pPr>
          </w:p>
        </w:tc>
      </w:tr>
      <w:tr>
        <w:trPr>
          <w:trHeight w:val="164"/>
        </w:trPr>
        <w:tc>
          <w:tcPr>
            <w:tcW w:w="612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Unrealized and certain realized currency losses</w:t>
            </w:r>
          </w:p>
        </w:tc>
        <w:tc>
          <w:tcPr>
            <w:tcW w:w="1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32"/>
              <w:spacing w:after="0" w:line="164" w:lineRule="exact"/>
              <w:rPr>
                <w:sz w:val="20"/>
                <w:szCs w:val="20"/>
                <w:color w:val="auto"/>
              </w:rPr>
            </w:pPr>
            <w:r>
              <w:rPr>
                <w:rFonts w:ascii="Times New Roman" w:cs="Times New Roman" w:eastAsia="Times New Roman" w:hAnsi="Times New Roman"/>
                <w:sz w:val="18"/>
                <w:szCs w:val="18"/>
                <w:color w:val="auto"/>
              </w:rPr>
              <w:t>3,823</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jc w:val="right"/>
              <w:ind w:right="31"/>
              <w:spacing w:after="0" w:line="164"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68"/>
        </w:trPr>
        <w:tc>
          <w:tcPr>
            <w:tcW w:w="612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(a)</w:t>
            </w:r>
          </w:p>
        </w:tc>
        <w:tc>
          <w:tcPr>
            <w:tcW w:w="1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3,473</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7,262</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21,530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27,741</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5,251</w:t>
            </w: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Warehouse/manufacturing consolidation and other costs, net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995</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 succession</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4,774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4,384</w:t>
            </w: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1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428,882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16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66,940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76,143</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50"/>
        </w:trPr>
        <w:tc>
          <w:tcPr>
            <w:tcW w:w="6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113,789</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154,522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-2091055</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6" w:lineRule="exact"/>
        <w:rPr>
          <w:sz w:val="20"/>
          <w:szCs w:val="20"/>
          <w:color w:val="auto"/>
        </w:rPr>
      </w:pPr>
    </w:p>
    <w:p>
      <w:pPr>
        <w:ind w:left="380" w:hanging="372"/>
        <w:spacing w:after="0"/>
        <w:tabs>
          <w:tab w:leader="none" w:pos="380" w:val="left"/>
        </w:tabs>
        <w:numPr>
          <w:ilvl w:val="0"/>
          <w:numId w:val="1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Expenses and items relating to securities class action, baby food litigation, and SEC investigation.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Free Cash Flow</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internal evaluations, we use the non-GAAP financial measure “Free Cash Flow.” The difference between Free Cash Flow and cash flows provided by or used in operating activities, which is the most comparable U.S. GAAP financial measure, is that Free Cash Flow reflects the impact of purchases of property, plant and equipment (“capital expenditure”). Since capital expenditure is essential to maintaining our operational capabilities, we believe that it is a recurring and necessary use of cash. As such, we believe investors should also consider capital expenditure when evaluating our cash flows provided by or used in operating activities. We view Free Cash Flow as an important measure because it is one factor in evaluating the amount of cash available for discretionary investments. We do not consider Free Cash Flow in isolation or as an alternative to financial measures determined in accordance with U.S. GAAP. A reconciliation from cash flows provided by operating activities to Free Cash Flow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(Amounts in thousands)</w:t>
            </w:r>
          </w:p>
        </w:tc>
        <w:tc>
          <w:tcPr>
            <w:tcW w:w="23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22,115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116,355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23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82,894</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shd w:val="clear" w:color="auto" w:fill="CFF0FC"/>
          </w:tcPr>
          <w:p>
            <w:pPr>
              <w:spacing w:after="0" w:line="20" w:lineRule="exact"/>
              <w:rPr>
                <w:sz w:val="1"/>
                <w:szCs w:val="1"/>
                <w:color w:val="auto"/>
              </w:rPr>
            </w:pPr>
          </w:p>
        </w:tc>
        <w:tc>
          <w:tcPr>
            <w:tcW w:w="2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are party to contractual obligations involving commitments to make payments to third parties, which impact our short-term and long-term liquidity and capital resource needs. Our contractual obligations primarily consist of long-term debt and related interest payments and operating leases.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Note 11,</w:t>
      </w:r>
      <w:r>
        <w:rPr>
          <w:rFonts w:ascii="Times New Roman" w:cs="Times New Roman" w:eastAsia="Times New Roman" w:hAnsi="Times New Roman"/>
          <w:sz w:val="18"/>
          <w:szCs w:val="18"/>
          <w:i w:val="1"/>
          <w:iCs w:val="1"/>
          <w:color w:val="auto"/>
        </w:rPr>
        <w:t xml:space="preserve"> Debt and Borrowings</w:t>
      </w:r>
      <w:r>
        <w:rPr>
          <w:rFonts w:ascii="Times New Roman" w:cs="Times New Roman" w:eastAsia="Times New Roman" w:hAnsi="Times New Roman"/>
          <w:sz w:val="18"/>
          <w:szCs w:val="18"/>
          <w:color w:val="auto"/>
        </w:rPr>
        <w:t>, in the Notes to the Consolidated Financial Statements included in Item 8 of this Form 10-K.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discussion and analysis of our financial condition and results of operations is based on our consolidated financial statements, which are prepared in accordance with accounting principles generally accepted in the United States. Our significant accounting policies are described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and Practices</w:t>
      </w:r>
      <w:r>
        <w:rPr>
          <w:rFonts w:ascii="Times New Roman" w:cs="Times New Roman" w:eastAsia="Times New Roman" w:hAnsi="Times New Roman"/>
          <w:sz w:val="18"/>
          <w:szCs w:val="18"/>
          <w:color w:val="auto"/>
        </w:rPr>
        <w:t>, in the Notes to the Consolidated Financial Statements included in Item 8 of this Form 10-K. The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have been identified as the critical accounting policies we use which require us to make estimates and assumptions and exercise judgment that affect the reported amounts of assets and liabilities at the date of the financial statements and amounts of income and expenses during the reporting periods presented. We believe in the quality and reasonableness of our critical accounting estimates; however, materially different amounts might be reported under different conditions or using assumptions, estimates or making judgments different from those that we have applied. Our critical accounting policies, including our methodology for estimates made and assumptions used, are as follows: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fixed contract consideration, many of the Company’s contracts include some form of variable consideration. The Company offers various trade promotions and sales incentive programs to customers and consumers, such as price discounts, slotting fees, in-store display incentives, cooperative advertising programs, new product introduction fees and coupons. The expenses associated with these programs are accounted for as reductions to the transaction price of products and are therefore deducted from sales to determine reported net sales. Trade promotions and sales incentive accruals are subject to significant management estimates and assumptions. The critical assumptions used in estimating the accruals for trade promotions and sales incentives include the Company’s estimate of expected levels of performance and redemption rates. The Company exercises judgment in developing these assumptions. These assumptions are based upon historical performance of the retailer or distributor customers with similar types of promotions adjusted for current trends. The Company regularly reviews and revises, when deemed necessary, estimates of costs to the Company for these promotions and incentives based on what has been incurred by the customers. The terms of most of the promotion and incentive arrangements do not exceed a year and therefore do not require highly uncertain long-term estimates. Settlement of these liabilities typically occurs in subsequent periods primarily through an authorization process for deductions taken by a customer from amounts otherwise due to the Company. Differences between estimated expense and actual promotion and incentive costs are recognized in earnings in the period such differences are determined. Actual expenses may differ if the level of redemption rates and performance were to vary from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Long-lived Assets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periodically evaluates the carrying value of long-lived assets held and used in the business and with definite lives, when events and circumstances occur indicating that the carrying amount of the asset or its asset group may not be recoverable. An impairment test is performed when the estimated undiscounted cash flows associated with the asset or asset group is less than its carrying value. If the undiscounted cash flows are less than the carrying value of the asset or its asset group, the Company performs test to fair value the asset or its asset group. A loss is recognized based on the amount, if any, by which the carrying value exceeds the estimated fair value of the asset or asset group.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is not amortized but rather is tested at least annually for impairment on April 1 of each year, or more often if events or changes in circumstances indicate that more likely than not the carrying amount of the asset may not be recoverable.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not to perform the qualitative assessment for some or all reporting units and instead perform a quantitative impairment test. The estimate of the fair values of our reporting units are based on the best information available as of the date of the assessment. We base our fair value estimates on assumptions we believe to be reasonable, but which are unpredictable and inherently uncertain. We generally use a blended analysis of the Discounted Cash Flow (“DCF”) method income approach and the Guideline Public Company Method (“GPCM”) market approach.</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DCF method estimates the value based on the present value of estimated future cash flows and economic benefits that are expected to be produced. Considerable management judgment is necessary to evaluate the impact of operating and external economic factors in estimating our future cash flows. The assumptions we use in our tests include projections of growth rates and profitability, our estimated working capital needs, as well as our weighted average cost of capital (“WACC”).</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GPCM approach estimates the value of a reporting unit through analysis of recent sales of comparable assets or business entities by comparing it to comparable publicly-disclosed transactions in similar businesses. Estimates used in the guideline public company method include the identification of similar businesses with comparable business factors.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key assumptions used in our quantitative impairment tests are inherently uncertain. They require a high degree of estimation and are subject to change based on, among other factors, industry and geopolitical conditions, our ability to navigate changing macroeconomic conditions and trends and the timing and success of strategic initiatives. Changes in economic and operating conditions impacting the assumptions we made could result in goodwill impairment in future periods. If the carrying amount of a reporting unit exceeds its fair value, goodwill is considered impaired. A goodwill impairment loss is recognized for the amount that the carrying amount of a reporting unit exceeds its fair value, limited to the total amount of goodwill allocated to that reporting unit.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2025, the Company recorded aggregated non-cash goodwill impairment charges of $357,679 within its North America segment and $71,203 within our International reportable segment as a result of goodwill impairment testing discussed below. The fair values for the quantitatively tested reporting units were estimated using a blended approach of the Discounted Cash Flow (“DCF”) method income approach and the Guideline Public Company Methodology (“GPCM”) market approach. Set forth is a table of each reporting unit’s goodwill carrying value as of, and impairment charges and other activity recorded during, the periods presented:</w:t>
      </w:r>
    </w:p>
    <w:tbl>
      <w:tblPr>
        <w:tblLayout w:type="fixed"/>
        <w:tblInd w:w="0" w:type="dxa"/>
        <w:tblCellMar>
          <w:top w:w="0" w:type="dxa"/>
          <w:left w:w="0" w:type="dxa"/>
          <w:bottom w:w="0" w:type="dxa"/>
          <w:right w:w="0" w:type="dxa"/>
        </w:tblCellMar>
      </w:tblPr>
      <w:tr>
        <w:trPr>
          <w:trHeight w:val="156"/>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77"/>
              <w:spacing w:after="0" w:line="156" w:lineRule="exact"/>
              <w:rPr>
                <w:sz w:val="20"/>
                <w:szCs w:val="20"/>
                <w:color w:val="auto"/>
              </w:rPr>
            </w:pPr>
            <w:r>
              <w:rPr>
                <w:rFonts w:ascii="Times New Roman" w:cs="Times New Roman" w:eastAsia="Times New Roman" w:hAnsi="Times New Roman"/>
                <w:sz w:val="14"/>
                <w:szCs w:val="14"/>
                <w:b w:val="1"/>
                <w:bCs w:val="1"/>
                <w:color w:val="auto"/>
              </w:rPr>
              <w:t>Reporting Unit</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Canada</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as of June 30, 2024</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641,053</w:t>
            </w:r>
          </w:p>
        </w:tc>
        <w:tc>
          <w:tcPr>
            <w:tcW w:w="3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48,415</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173,538</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September 30, 2024</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Divestiture during three months ended September 30, 2024</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December 31, 2024</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March 31, 2025</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(88,712)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Reclassification of goodwill to held for sale during three months ended March 31, 2025</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June 30, 2025</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(138,182)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(71,203)</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Translation</w:t>
            </w: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13,877</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as of June 30, 2025</w:t>
            </w:r>
          </w:p>
        </w:tc>
        <w:tc>
          <w:tcPr>
            <w:tcW w:w="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312,321</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116,212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111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1111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tested its U.S. reporting unit’s goodwill for impairment and, as previously disclosed, determined that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unit’s goodwill was at risk, given that the fair value of the reporting unit was greater than its carrying value by 6.2%.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fiscal 2025</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second quarter of fiscal 2025, as a result of the continued decline in the Company’s market capitalization since the previous fiscal year and the recognition of personal care intangible asset impairment charges within the reporting units in its North America reportable segment, the Company completed an interim impairment test for goodwill for all of its reporting units utilizing either a quantitative or qualitative test. Consequently, the Company recognized a non-cash impairment charge of $91,267 to reduce the carrying value of the goodwill of the U.S. reporting unit. In addition to the aforementioned factors, while the Company’s previously announced Hain Reimagined strategy was still in effect, certain significant assumptions in the fair value test of the U.S. reporting unit had changed. Those changes in estimates included a decline in overall sales volume, an increase in the discount rate utilized in the DCF methodology as a result of certain developments related to the Company’s ability to implement its then-current strategy and a decrease in Enterprise Value (“E.V.”)/EBITDA multiples of comparable publicly traded companies, which were utilized in the GPCM under the market approach. For the qualitatively assessed reporting units (Canada, U.K., Western Europe and Ella’s Kitchen U.K.), the Company assessed qualitative factors to determine whether it is more likely than not that the fair value of its reporting unit is less than its carrying amount, including goodwill. The Company concluded that the qualitatively tested reporting units’ estimated fair values exceeded their carrying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fiscal 2025</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2025, as a result of a significant reduction in the Company’s actual and projected performance and cash flows primarily within its North America segment, the measurement of the personal care business as held for sale, as well as the continued decline in the Company’s market capitalization since the previous quarter, the Company completed an interim impairment test for goodwill for all of its reporting units. As of March 31, 2025, the U.S. and Canada reporting units’</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carrying amounts exceeded their estimated fair value, resulting in recognition of non-cash impairment charges of $88,712 and $21,539, respectively, to reduce their respective carrying values. The additional U.S. reporting unit impairment recorded during the third quarter of fiscal 2025 also reflected the sales volume decline that the Company continued to experience, which led to an incremental increase in the discount rate utilized to measure risk in the DCF methodology. Additionally, there was also a corresponding decrease in E.V./EBITDA multiples of comparable publicly traded companies, which were utilized in the GPCM under the market approach. The Canada reporting unit was affected by the PC business being classified as held for sale in addition to the Canadian market being affected by net sales volume declines similar to those that had been experienced by the U.S. reporting unit. For the qualitatively tested reporting units (U.K., Western Europe and Ella’s Kitchen U.K.), the Company assessed qualitative factors to determine whether it is more likely than not that the fair value of its reporting unit is less than its carrying amount, including goodwill. The Company concluded that the qualitatively tested reporting units’ estimated fair values exceeded their carrying amounts, while noting a recent decline in performance within the U.K. reporting units.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impairment testing as of April 1, 2025</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Company’s annual impairment testing date is on April 1, 2025 (the first day of the fourth quarter of fiscal 2025), the previously aforementioned quantitative tests for the U.S. and Canada reporting units were utilized for the annual impairment test given there were no significant changes to the risks of these reporting units between March 31, 2025 and April 1, 2025. However, the Company performed quantitative tests for its other three reporting units (Western Europe, Ella’s Kitchen and U.K.) on April 1, 2025, which corroborated the results of the qualitative analysis that was performed during the third quarter of fiscal 2025. The fair values of Western Europe and Ella’s Kitchen significantly exceeded their carrying values.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of fiscal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30, 2025, the Company identified further indicators of impairment and determined it was necessary to perform a quantitative test of goodwill at the U.S., Canada and U.K. reporting units and a qualitative assessment of its Western Europe and Ella’s Kitchen U.K. reporting units. On a consolidated basis, the continued decline in the Company’s closing stock price per share from $6.91 as of June 30, 2024 to $1.52 as of June 30, 2025 was a significant indicator that led the Company to perform these additional tests. In addition, during the fourth quarter of fiscal 2025, the Board of Directors announced the exit of the Company’s former CEO and that a strategic review of the Company’s portfolio would be performed, as discussed in Note 1. Description of Business and Basis of Presentation. The following factors were also identified within the reporting units.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2025, the U.S. reporting unit experienced certain significant distribution losses with certain customers that affected both revenue and Adjusted EBITDA. Furthermore, given the continued known decline in the Company’s U.S. forecasts, the discount rate utilized to measure risk in the DCF methodology increased. In addition, there was a reduction in E.V./EBITDA multiples of comparable publicly traded companies, which were utilized in the GPCM under the market approach. These factors led to an impairment of $138,182 being recorded in our U.S. reporting unit for the three months ended June 30, 2025.</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during the fourth quarter of fiscal 2025, the U.K. reporting unit had a reduction in Adjusted EBITDA due to certain regulations related to plastic and national insurance taxes that were enacted during the quarter, and the reduction of Adjusted EBITDA also impacted the discount rate utilized under the DCF approach. The U.K. reporting unit valuation was also impacted by a reduction in the E.V./EBITDA multiples of comparable publicly traded companies, which were utilized in the GPCM under the market approach. These factors led to the recognition of a non-cash goodwill impairment charge of $71,203 being recorded in our U.K. reporting unit as of June 30 2025.</w:t>
      </w:r>
    </w:p>
    <w:p>
      <w:pPr>
        <w:spacing w:after="0" w:line="1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Canada reporting unit had goodwill of $17,549 remaining as of April 1, 2025. The remaining goodwill was impaired as a result of the Company’s strategic decision to close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on June 26, 2025, which is expected to be completed in fiscal 2026.</w:t>
      </w:r>
    </w:p>
    <w:p>
      <w:pPr>
        <w:spacing w:after="0" w:line="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these impairment charges, the remaining goodwill at the U.S. and U.K. reporting units was $312,321 and $116,212, respectively, as of June 30, 2025. There was no remaining goodwill at the Canada reporting unit as of June 30, 2025. The goodwill related to the U.S. and U.K. reporting units are at risk of potential impairment if the fair value of these reporting units, and their associated assets, decrease in value due to the amount and timing of expected future cash flows, decreased customer demand for</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qualitatively tested reporting units (Western Europe and Ella’s Kitchen UK), the Company performed a qualitative evaluation as of June 30, 2025 to assess factors to determine whether it is more likely than not that the fair value of its reporting unit is less than its carrying amount, including goodwill. The Company concluded that the qualitatively tested reporting units’ estimated fair values exceeded their carrying amounts, which was consistent with the conclusions reached on the annual quantitative impairment testing date of April 1, 2025.</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performed a market capitalization reconciliation with the expectation that the market capitalization should reconcile within a reasonable range to the sum of the fair values of the individual reporting units. Such reconciliation often includes both qualitative and quantitative assessments as is the case with the Company’s reporting units as of June 30, 2025. When an entity performs a qualitative assessment for some reporting units but proceeds to a quantitative assessment for others, reconciling the overall market capitalization to the aggregate fair value of reporting units can be challenging and requires significant judgment. There is no requirement to determine the fair value of reporting units for which only a qualitative impairment test is performed. Therefore, when performing an overall comparison of the sum of the fair values of the individual reporting units to the market capitalization, we included the current year fair value for reporting units for which a quantitative test was performed. Upon performing the market capitalization reconciliation, we noted a reasonable reconciliation between the sum of the reporting unit fair values and the Company’s market capitalization once adjusted for the impact of corporate costs not allocated to the reporting units.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consist primarily of acquired tradenames and trademarks. Indefinite-lived intangible assets are evaluated on an annual basis in conjunction with the Company’s evaluation of goodwill, or on an interim basis if and when events or circumstances change that would more likely than not reduce the fair value of any of its indefinite-life intangible assets below their carrying value. In assessing fair value, the Company utilizes a “relief from royalty payments” methodology. This approach involves two steps: (i) estimating the royalty rates for each trademark and (ii) applying these royalty rates to a projected net sales stream and discounting the resulting cash flows to determine fair value. If the carrying value of the indefinite-lived intangible assets exceeds the fair value of the assets, the carrying value is written down to fair value in the period identified.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performs an indefinite-lived asset impairment test annually and more frequently if events or changes in circumstances indicate that it is more likely than not that the asset is impaired. In accordance with ASC 350, we may first perform a qualitative assessment to determine whether it is necessary to perform a quantitative impairment test. If an entity elects to perform a qualitative assessment, it first shall assess qualitative factors to determine whether it is more likely than not (that is, a likelihood of more than 50 percent) that an indefinite-lived intangible asset is impaired. One procedure we perform during interim periods to determine whether indicators of impairment are present includes a comparison of net sales used in the most recent quantitative impairment tests to forecasted net sales for the same fiscal year (or balance of the fiscal year when performing an interim review) in order to identify brands for which the current fiscal year net sales are expected to be lower than the forecasted fiscal year net sales per the latest quantitative test. The performance of these brands is then reviewed by management to determine if the shortfall to forecasted net sales was related to events and circumstances that are expected to be temporary in nature, or if it was caused by a more pervasive issue that could serve as in impairment indicator (e.g., loss of key customers, discontinuance of certain product categories within a brand, etc.). We use this risk-based approach to determine which brands we would quantitatively test for impairment, whether as part of fiscal year annual impairment testing or an interim period test.</w:t>
      </w:r>
    </w:p>
    <w:p>
      <w:pPr>
        <w:spacing w:after="0" w:line="16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During the fourth quarter of fiscal 2025, the Company quantitatively tested tradenames associated with its snacks and meal preparation brands,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estimated fair value of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exceeded its carrying value by approximately 18%. The quantitative assessment indicated that the carrying value of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tradenames exceeded their estimated fair value. The fair value was determined using the relief from royalty method, and an aggregate non-cash impairment charge of $21,100 was recorded within intangibles and long-lived asset impairment on the consolidated statements of operations. The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North America reportable segment and have a remaining aggregate carrying value of $8,000 and $11,800, respectively, as of June 30, 2025.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 was also part of the North America reportable segment and have no remaining carrying value as of June 30, 2025. The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tradenames remain at risk of impairment in future periods in the event of unfavorable changes in assumptions, including forecasted future cashflows based on execution of strategic initiatives for increasing revenue, as well as discount rates and other macroeconomic factors.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the third quarter of fiscal 2025, the Company recorded a non-cash impairment charge of $960 within its North America reportable segment related to its Health Valley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The asset was part of the North America reportable segment and have no remaining carrying value as of June 30, 2025.</w:t>
      </w:r>
    </w:p>
    <w:p>
      <w:pPr>
        <w:spacing w:after="0" w:line="3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second quarter of fiscal 2025, the Company recorded a non-cash impairment charge of $15,733 within its North America reportable segment. Non-cash impairment charge of $12,085 was related to its personal care intangible assets, primarily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and tradenames and balance $3,648 was related to Belvedere™ trademark and customer relationships. The assets are part of the North America reportable segment and have and have no remaining carrying value as of June 30, 2025.</w:t>
      </w:r>
    </w:p>
    <w:p>
      <w:pPr>
        <w:spacing w:after="0" w:line="171" w:lineRule="exact"/>
        <w:rPr>
          <w:sz w:val="20"/>
          <w:szCs w:val="20"/>
          <w:color w:val="auto"/>
        </w:rPr>
      </w:pPr>
    </w:p>
    <w:p>
      <w:pPr>
        <w:ind w:right="960"/>
        <w:spacing w:after="0" w:line="455" w:lineRule="auto"/>
        <w:rPr>
          <w:sz w:val="20"/>
          <w:szCs w:val="20"/>
          <w:color w:val="auto"/>
        </w:rPr>
      </w:pPr>
      <w:r>
        <w:rPr>
          <w:rFonts w:ascii="Times New Roman" w:cs="Times New Roman" w:eastAsia="Times New Roman" w:hAnsi="Times New Roman"/>
          <w:sz w:val="18"/>
          <w:szCs w:val="18"/>
          <w:color w:val="auto"/>
        </w:rPr>
        <w:t xml:space="preserve">See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in the Notes to the Consolidated Financial Statements included in Item 8 of this Form 10-K. </w:t>
      </w:r>
      <w:r>
        <w:rPr>
          <w:rFonts w:ascii="Times New Roman" w:cs="Times New Roman" w:eastAsia="Times New Roman" w:hAnsi="Times New Roman"/>
          <w:sz w:val="18"/>
          <w:szCs w:val="18"/>
          <w:i w:val="1"/>
          <w:iCs w:val="1"/>
          <w:color w:val="auto"/>
        </w:rPr>
        <w:t>Stock-based Compensation</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Monte Carlo simulation model to determine the fair value of market-based awards. The use of the Monte Carlo simulation model requires the Company to make estimates and assumptions, such as expected volatility, expected term and risk-free interest rate. For awards that contain a market condition, expense is recognized over the defined or derived service period using a Monte Carlo simulation model.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Allowances for Deferred Tax Assets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tax assets arise when we recognize expenses in our financial statements that will be allowed as income tax deductions in future periods. Deferred tax assets also include unused tax net operating losses and tax credits that we are allowed to carry forward to future years. Accounting rules permit us to carry deferred tax assets on the balance sheet at full value after consideration of the four sources of income, namely taxable income in prior year carryback years, the future reversals of existing taxable temporary differences, tax planning strategies, and future taxable income exclusive of reversing temporary differences, to determine if the deferred tax assets are realizable. A valuation allowance must be recorded against a deferred tax asset if they are not realizable after considering the four sources of income. Our determination of our valuation allowances is based upon a number of assumptions, judgments and estimates, including the reversal pattern of existing temporary differences and forecasted earnings.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 and Practices</w:t>
      </w:r>
      <w:r>
        <w:rPr>
          <w:rFonts w:ascii="Times New Roman" w:cs="Times New Roman" w:eastAsia="Times New Roman" w:hAnsi="Times New Roman"/>
          <w:sz w:val="18"/>
          <w:szCs w:val="18"/>
          <w:color w:val="auto"/>
        </w:rPr>
        <w:t>, in the Notes to the Consolidated Financial Statements included in Item 8 of this Form 10-K for information regarding recent accounting pronouncements.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product lines have seasonal fluctuations. Hot tea and soup sales are stronger in colder months, while sales of snack foods are stronger in the warmer months. As such, our results of operations and our cash flows for any particular quarter are not indicative of the results we expect for the full year, and our historical seasonality may not be indicative of future quarterly results of operations. Historically, net sales and diluted earnings per share in the first fiscal quarter have typically been the lowest of our four quarters.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market risks (i.e., the risk of loss arising from adverse changes in market rates and prices) to which the Company is exposed are:</w:t>
      </w:r>
    </w:p>
    <w:p>
      <w:pPr>
        <w:spacing w:after="0" w:line="198"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on debt and cash equivalents;</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rates, generating translation and transaction gains and losses;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inputs.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centrally manage our debt and cash equivalents, considering investment opportunities and risks, tax consequences and overall financing strategies. Our cash equivalents consist primarily of money market funds or their equivalent. As of June 30, 2025, we had $706.1 million of variable rate debt outstanding under our Credit Agreement. We use interest rate swaps to hedge a portion of the interest rate risk related to our outstanding variable rate debt. As of June 30, 2025, the notional amount of the interest rate swaps was $400 million with fixed rate payments of 6.12%. Assuming current cash equivalents, variable rate borrowings and the effects of the interest rate swaps, a hypothetical change in average interest rates of one percentage point would have resulted in higher net interest expense of $3.5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Operating in international markets involves exposure to movements in currency exchange rates, which are volatile at times, and the impact of such movements, if material, could cause adjustments to our financing and operating strategies.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approximately 50% of our consolidated net sales were generated from sales outside the U.S., while such sales outside the U.S. were 46% of net sales in fiscal 2024 and 43% of net sales in fiscal 2023. These revenues, along with related expenses and capital purchases, were conducted primarily in British Pounds Sterling, Euros and Canadian Dollars. Sales and operating income would have decreased by approximately $38.7 million and $3.0 million, respectively, if average foreign exchange rates had been lower by 5% against the U.S. Dollar in fiscal 2025. These amounts were determined by considering the impact of a hypothetical foreign exchange rate on the sales and operating income of the Company’s international operations.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currency exchange rates may also impact the Stockholders’ Equity of the Company. Amounts invested in our non-U.S. subsidiaries are translated into United States Dollars at the exchange rates as of the last day of each reporting period. Any resulting cumulative translation adjustments are recorded in Stockholders’ Equity as Accumulated Other Comprehensive Loss. The cumulative translation adjustments component of Accumulated Other Comprehensive Loss increased by $71.3 million during the fiscal year ended June 30,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manage that risk, the Company may enter into certain derivative financial instruments, when available on a cost-effective basis. We had approximately $128.8 million in notional amounts of cross-currency swaps at June 30, 2025. See Note 17, </w:t>
      </w:r>
      <w:r>
        <w:rPr>
          <w:rFonts w:ascii="Times New Roman" w:cs="Times New Roman" w:eastAsia="Times New Roman" w:hAnsi="Times New Roman"/>
          <w:sz w:val="18"/>
          <w:szCs w:val="18"/>
          <w:i w:val="1"/>
          <w:iCs w:val="1"/>
          <w:color w:val="auto"/>
        </w:rPr>
        <w:t>Derivatives and Hedging Activities</w:t>
      </w:r>
      <w:r>
        <w:rPr>
          <w:rFonts w:ascii="Times New Roman" w:cs="Times New Roman" w:eastAsia="Times New Roman" w:hAnsi="Times New Roman"/>
          <w:sz w:val="18"/>
          <w:szCs w:val="18"/>
          <w:color w:val="auto"/>
        </w:rPr>
        <w:t>, in the Notes to Consolidated Financial Statements included in Item 8 of this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Ingredient Inputs Price Risk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purchases ingredient inputs such as vegetables, fruits, oils, grains, beans, nuts, tea and herbs, spices, dairy products, plant-based surfactants, glycerin and alcohols, as well as packaging materials, to be used in its operations. These inputs are subject to price fluctuations that may create price risk. While not currently significant, some suppliers have sought to pass through to the Company all or a portion of the impact of new tariffs imposed on the suppliers. Although we sometimes hedge against fluctuations in the prices of the ingredients by using future or forward contracts or similar instruments, the majority of our future purchases of these items are subject to changes in price. We may enter into fixed purchase commitments in an attempt to secure an adequate supply of specific ingredients. These agreements are tied to specific market prices. Market risk is estimated as a hypothetical 10% increase or decrease in the weighted average cost of our primary inputs as of June 30, 2025. Based on our cost of goods sold during the fiscal year ended June 30, 2025, such a change would have resulted in an increase or decrease to cost of sales of approximately $92 million. We attempt to offset the impact of input cost increases with a combination of cost savings initiatives and efficiencies and price increases.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00" w:type="dxa"/>
            <w:vAlign w:val="bottom"/>
          </w:tcPr>
          <w:p>
            <w:pPr>
              <w:spacing w:after="0"/>
              <w:rPr>
                <w:sz w:val="20"/>
                <w:szCs w:val="20"/>
                <w:color w:val="auto"/>
              </w:rPr>
            </w:pPr>
          </w:p>
        </w:tc>
      </w:tr>
      <w:tr>
        <w:trPr>
          <w:trHeight w:val="432"/>
        </w:trPr>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consolidated financial statements of The Hain Celestial Group, Inc. and subsidiaries are included in Item 8:</w:t>
            </w:r>
          </w:p>
        </w:tc>
        <w:tc>
          <w:tcPr>
            <w:tcW w:w="1300" w:type="dxa"/>
            <w:vAlign w:val="bottom"/>
          </w:tcPr>
          <w:p>
            <w:pPr>
              <w:spacing w:after="0"/>
              <w:rPr>
                <w:sz w:val="24"/>
                <w:szCs w:val="24"/>
                <w:color w:val="auto"/>
              </w:rPr>
            </w:pPr>
          </w:p>
        </w:tc>
      </w:tr>
      <w:tr>
        <w:trPr>
          <w:trHeight w:val="391"/>
        </w:trPr>
        <w:tc>
          <w:tcPr>
            <w:tcW w:w="5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42)</w:t>
            </w:r>
          </w:p>
        </w:tc>
        <w:tc>
          <w:tcPr>
            <w:tcW w:w="4420" w:type="dxa"/>
            <w:vAlign w:val="bottom"/>
            <w:gridSpan w:val="4"/>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6"/>
        </w:trPr>
        <w:tc>
          <w:tcPr>
            <w:tcW w:w="40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 June 30, 2025 and 2024</w:t>
            </w:r>
          </w:p>
        </w:tc>
        <w:tc>
          <w:tcPr>
            <w:tcW w:w="5920" w:type="dxa"/>
            <w:vAlign w:val="bottom"/>
            <w:gridSpan w:val="5"/>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66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 Fiscal Years ended June 30, 2025, 2024 and 2023</w:t>
            </w:r>
          </w:p>
        </w:tc>
        <w:tc>
          <w:tcPr>
            <w:tcW w:w="332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72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Comprehensive Loss - Fiscal Years ended June 30, 2025, 2024 and 2023</w:t>
            </w:r>
          </w:p>
        </w:tc>
        <w:tc>
          <w:tcPr>
            <w:tcW w:w="20" w:type="dxa"/>
            <w:vAlign w:val="bottom"/>
            <w:tcBorders>
              <w:bottom w:val="single" w:sz="8" w:color="0000EE"/>
            </w:tcBorders>
          </w:tcPr>
          <w:p>
            <w:pPr>
              <w:spacing w:after="0"/>
              <w:rPr>
                <w:sz w:val="17"/>
                <w:szCs w:val="17"/>
                <w:color w:val="auto"/>
              </w:rPr>
            </w:pPr>
          </w:p>
        </w:tc>
        <w:tc>
          <w:tcPr>
            <w:tcW w:w="26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r>
      <w:tr>
        <w:trPr>
          <w:trHeight w:val="196"/>
        </w:trPr>
        <w:tc>
          <w:tcPr>
            <w:tcW w:w="73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 Fiscal Years ended June 30, 2025, 2024 and 2023</w:t>
            </w:r>
          </w:p>
        </w:tc>
        <w:tc>
          <w:tcPr>
            <w:tcW w:w="26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99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 Fiscal Years ended June 30, 2025, 2024 and 2023</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31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0" w:type="dxa"/>
            <w:vAlign w:val="bottom"/>
            <w:tcBorders>
              <w:top w:val="single" w:sz="8" w:color="0000FF"/>
              <w:bottom w:val="single" w:sz="8" w:color="0000EE"/>
            </w:tcBorders>
          </w:tcPr>
          <w:p>
            <w:pPr>
              <w:spacing w:after="0"/>
              <w:rPr>
                <w:sz w:val="17"/>
                <w:szCs w:val="17"/>
                <w:color w:val="auto"/>
              </w:rPr>
            </w:pPr>
          </w:p>
        </w:tc>
        <w:tc>
          <w:tcPr>
            <w:tcW w:w="3400" w:type="dxa"/>
            <w:vAlign w:val="bottom"/>
            <w:tcBorders>
              <w:top w:val="single" w:sz="8" w:color="0000FF"/>
            </w:tcBorders>
            <w:gridSpan w:val="3"/>
          </w:tcPr>
          <w:p>
            <w:pPr>
              <w:spacing w:after="0"/>
              <w:rPr>
                <w:sz w:val="17"/>
                <w:szCs w:val="17"/>
                <w:color w:val="auto"/>
              </w:rPr>
            </w:pPr>
          </w:p>
        </w:tc>
        <w:tc>
          <w:tcPr>
            <w:tcW w:w="3320" w:type="dxa"/>
            <w:vAlign w:val="bottom"/>
            <w:gridSpan w:val="3"/>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of The Hain Celestial Group, Inc. and subsidiaries is included in Item 15(a):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II - Valuation and qualifying accounts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accounting regulation of the SEC are not required under the related instructions or are inapplicable and therefore have been omitted.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The Hain Celestial Group,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The Hain Celestial Group, Inc. and subsidiaries (the Company) as of June 30, 2025 and 2024, the related consolidated statements of operations, comprehensive loss, stockholders’ equity and cash flows for each of the three years in the period ended June 30, 2025,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June 30, 2025 and 2024, and the results of its operations and its cash flows for each of the three years in the period ended June 30, 2025, in conformity with U.S. generally accepted accounting principles.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June 30, 2025, based on criteria established in Internal Control—Integrated Framework issued by the Committee of Sponsoring Organizations of the Treadway Commission (2013 framework), and our report dated September 15, 2025 expressed an adverse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Estimation of the Trade and Promotional Incentive Accrual</w:t>
      </w:r>
    </w:p>
    <w:p>
      <w:pPr>
        <w:spacing w:after="0" w:line="22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For the year ended June 30, 2025, the Company’s reported net sales were $1.6 billion. As described in Note 2 of the</w:t>
      </w:r>
    </w:p>
    <w:p>
      <w:pPr>
        <w:spacing w:after="0" w:line="29" w:lineRule="exact"/>
        <w:rPr>
          <w:sz w:val="20"/>
          <w:szCs w:val="20"/>
          <w:color w:val="auto"/>
        </w:rPr>
      </w:pPr>
    </w:p>
    <w:p>
      <w:pPr>
        <w:jc w:val="both"/>
        <w:ind w:left="1920" w:right="60" w:hanging="1919"/>
        <w:spacing w:after="0" w:line="253" w:lineRule="auto"/>
        <w:tabs>
          <w:tab w:leader="none" w:pos="19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consolidated financial statements, the Company offers certain customers trade and promotional incentive programs, which results in variable consideration in the Company’s contracts with its customers. The estimated costs of these programs are recorded as a reduction to revenue at the time a product is sold to the customer. The measurement of estimates of variable consideration specifically for the trade and promotional incentive accrual recorded at period end involves the use of judgment related to estimates of expected levels of performance and redemption rates.</w:t>
      </w:r>
    </w:p>
    <w:p>
      <w:pPr>
        <w:spacing w:after="0" w:line="187" w:lineRule="exact"/>
        <w:rPr>
          <w:sz w:val="20"/>
          <w:szCs w:val="20"/>
          <w:color w:val="auto"/>
        </w:rPr>
      </w:pPr>
    </w:p>
    <w:p>
      <w:pPr>
        <w:jc w:val="both"/>
        <w:ind w:left="1920" w:right="60"/>
        <w:spacing w:after="0" w:line="258" w:lineRule="auto"/>
        <w:rPr>
          <w:sz w:val="20"/>
          <w:szCs w:val="20"/>
          <w:color w:val="auto"/>
        </w:rPr>
      </w:pPr>
      <w:r>
        <w:rPr>
          <w:rFonts w:ascii="Times New Roman" w:cs="Times New Roman" w:eastAsia="Times New Roman" w:hAnsi="Times New Roman"/>
          <w:sz w:val="18"/>
          <w:szCs w:val="18"/>
          <w:color w:val="auto"/>
        </w:rPr>
        <w:t>Auditing the estimates of variable consideration for the trade and promotional incentive accrual is complex because the revenue recognized is determined based on significant management estimates. In particular, estimates are made for expected levels of performance and redemption rates. These estimates are based on historical performance of customers, types and levels of promotions offered, and claims received from customers. Changes in these assumptions can have a significant impact on the amount of the revenue recognized.</w:t>
      </w:r>
    </w:p>
    <w:p>
      <w:pPr>
        <w:spacing w:after="0" w:line="39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Company’s</w:t>
      </w:r>
    </w:p>
    <w:p>
      <w:pPr>
        <w:spacing w:after="0" w:line="29" w:lineRule="exact"/>
        <w:rPr>
          <w:sz w:val="20"/>
          <w:szCs w:val="20"/>
          <w:color w:val="auto"/>
        </w:rPr>
      </w:pPr>
    </w:p>
    <w:p>
      <w:pPr>
        <w:jc w:val="both"/>
        <w:ind w:left="1920" w:hanging="1916"/>
        <w:spacing w:after="0" w:line="255" w:lineRule="auto"/>
        <w:tabs>
          <w:tab w:leader="none" w:pos="190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estimation of the trade and promotional incentive accrual process. For example, we tested controls over management’s review of the significant assumptions described above, management’s validation of the completeness and accuracy of the data used in making their estimates, and other controls such as their retrospective review analysis of prior period estimates.</w:t>
      </w:r>
    </w:p>
    <w:p>
      <w:pPr>
        <w:spacing w:after="0" w:line="186" w:lineRule="exact"/>
        <w:rPr>
          <w:sz w:val="20"/>
          <w:szCs w:val="20"/>
          <w:color w:val="auto"/>
        </w:rPr>
      </w:pPr>
    </w:p>
    <w:p>
      <w:pPr>
        <w:jc w:val="both"/>
        <w:ind w:left="1920"/>
        <w:spacing w:after="0" w:line="258" w:lineRule="auto"/>
        <w:rPr>
          <w:sz w:val="20"/>
          <w:szCs w:val="20"/>
          <w:color w:val="auto"/>
        </w:rPr>
      </w:pPr>
      <w:r>
        <w:rPr>
          <w:rFonts w:ascii="Times New Roman" w:cs="Times New Roman" w:eastAsia="Times New Roman" w:hAnsi="Times New Roman"/>
          <w:sz w:val="18"/>
          <w:szCs w:val="18"/>
          <w:color w:val="auto"/>
        </w:rPr>
        <w:t>To test the estimates of variable consideration for the trade and promotional incentive accrual, we performed audit procedures that included, among others, evaluating the assumptions used by the Company in establishing the estimates of the trade and promotional incentive accruals by comparing them to historical trends and third-party evidence as well as performing transactional testing for a sample of customer claim activity. We also tested the results of the Company’s retrospective review analyses performed on the prior year trade and promotional incentive accrual.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Valuation of the U.S., United Kingdom, and Canada Reporting Units</w:t>
      </w:r>
    </w:p>
    <w:p>
      <w:pPr>
        <w:sectPr>
          <w:pgSz w:w="11900" w:h="16838" w:orient="portrait"/>
          <w:cols w:equalWidth="0" w:num="1">
            <w:col w:w="11240"/>
          </w:cols>
          <w:pgMar w:left="320" w:top="117" w:right="339" w:bottom="1440" w:gutter="0" w:footer="0" w:header="0"/>
        </w:sectPr>
      </w:pPr>
    </w:p>
    <w:p>
      <w:pPr>
        <w:spacing w:after="0" w:line="23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June 30, 2025, the goodwill assigned to the Company’s U.S. and United Kingdom reporting units had carrying values of approximately $312.3 million and $116.2 million, respectively. The Canada reporting unit has no remaining goodwill. As discussed in Note 2 of the consolidated financial statements, the Company tests goodwill for impairment at the reporting unit level at least annually, or when circumstances indicate that the carrying amount of the asset may not be recoverable. If the carrying value of a reporting unit exceeds its fair value, the Company would then compare the carrying value of the goodwill to its implied fair value in order to determine the amount of the impairment, if any.</w:t>
      </w:r>
    </w:p>
    <w:p>
      <w:pPr>
        <w:spacing w:after="0" w:line="187" w:lineRule="exact"/>
        <w:rPr>
          <w:sz w:val="20"/>
          <w:szCs w:val="20"/>
          <w:color w:val="auto"/>
        </w:rPr>
      </w:pPr>
    </w:p>
    <w:p>
      <w:pPr>
        <w:sectPr>
          <w:pgSz w:w="11900" w:h="16838" w:orient="portrait"/>
          <w:cols w:equalWidth="0" w:num="2">
            <w:col w:w="1300" w:space="620"/>
            <w:col w:w="9320"/>
          </w:cols>
          <w:pgMar w:left="320" w:top="117" w:right="339" w:bottom="1440" w:gutter="0" w:footer="0" w:header="0"/>
          <w:type w:val="continuous"/>
        </w:sectPr>
      </w:pPr>
    </w:p>
    <w:p>
      <w:pPr>
        <w:jc w:val="both"/>
        <w:ind w:left="1920"/>
        <w:spacing w:after="0" w:line="255" w:lineRule="auto"/>
        <w:rPr>
          <w:sz w:val="20"/>
          <w:szCs w:val="20"/>
          <w:color w:val="auto"/>
        </w:rPr>
      </w:pPr>
      <w:r>
        <w:rPr>
          <w:rFonts w:ascii="Times New Roman" w:cs="Times New Roman" w:eastAsia="Times New Roman" w:hAnsi="Times New Roman"/>
          <w:sz w:val="18"/>
          <w:szCs w:val="18"/>
          <w:color w:val="auto"/>
        </w:rPr>
        <w:t>Auditing the Company’s impairment tests for the goodwill in the U.S., United Kingdom, and Canada reporting units is complex due to the significant judgments required to estimate the fair value of the respective reporting units. The Company estimated the fair value of the reporting units using a combination of the discounted cash flow method, a form of the income approach, and the guideline public company method, a form of the market approach. The discounted cash flow method is largely dependent upon estimates made by management with respect to significant assumptions, such as projections of future revenue, future earnings before interest, tax, depreciation and amortization, the discount rate, and terminal growth rate, which are affected by expectations about future market or economic conditions.</w:t>
      </w:r>
    </w:p>
    <w:p>
      <w:pPr>
        <w:sectPr>
          <w:pgSz w:w="11900" w:h="16838" w:orient="portrait"/>
          <w:cols w:equalWidth="0" w:num="1">
            <w:col w:w="11240"/>
          </w:cols>
          <w:pgMar w:left="320" w:top="117" w:right="339" w:bottom="1440" w:gutter="0" w:footer="0" w:header="0"/>
          <w:type w:val="continuous"/>
        </w:sectPr>
      </w:pPr>
    </w:p>
    <w:p>
      <w:pPr>
        <w:spacing w:after="0" w:line="187"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To test the estimated fair value of the U.S., United Kingdom, and Canada reporting units, we performed audit procedures that</w:t>
      </w:r>
    </w:p>
    <w:p>
      <w:pPr>
        <w:spacing w:after="0" w:line="29" w:lineRule="exact"/>
        <w:rPr>
          <w:sz w:val="20"/>
          <w:szCs w:val="20"/>
          <w:color w:val="auto"/>
        </w:rPr>
      </w:pPr>
    </w:p>
    <w:p>
      <w:pPr>
        <w:jc w:val="both"/>
        <w:ind w:left="1920" w:right="60" w:hanging="1916"/>
        <w:spacing w:after="0" w:line="251" w:lineRule="auto"/>
        <w:tabs>
          <w:tab w:leader="none" w:pos="190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included, among others, testing the significant assumptions and testing the completeness and accuracy of the underlying data used by the Company in its analyses. We compared the significant assumptions used by management to current industry and economic trends, and to the historical results of the reporting unit, while also considering changes to the Company’s business model, customer base and product mix. We assessed the historical accuracy of management’s estimates and significant assumptions, such as projections of revenue growth rates and profitability by comparing management’s past projections to actual performance. We involved valuation specialists to assist in evaluating the Company’s methodology and significant assumptions, including the discount rate and terminal growth rate. We also performed sensitivity analyses to evaluate the impact that changes in the significant assumptions would have on the fair value of each of the reporting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2025 AND JUNE 30,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300" w:type="dxa"/>
            <w:vAlign w:val="bottom"/>
            <w:tcBorders>
              <w:bottom w:val="single" w:sz="8" w:color="auto"/>
            </w:tcBorders>
          </w:tcPr>
          <w:p>
            <w:pPr>
              <w:spacing w:after="0"/>
              <w:rPr>
                <w:sz w:val="15"/>
                <w:szCs w:val="15"/>
                <w:color w:val="auto"/>
              </w:rPr>
            </w:pPr>
          </w:p>
        </w:tc>
      </w:tr>
      <w:tr>
        <w:trPr>
          <w:trHeight w:val="142"/>
        </w:trPr>
        <w:tc>
          <w:tcPr>
            <w:tcW w:w="7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42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54,355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54,307</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$1,337 and $1,517, respectively</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154,440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179,190</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248,731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274,128</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43,169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49,434</w:t>
            </w:r>
          </w:p>
        </w:tc>
      </w:tr>
      <w:tr>
        <w:trPr>
          <w:trHeight w:val="216"/>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29,603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530,298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557,059</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264,730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261,730</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500,961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929,304</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 and other intangible assets, net</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210,905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244,799</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71,171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86,634</w:t>
            </w: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25,213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38,022</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1,603,278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2,117,548</w:t>
            </w:r>
          </w:p>
        </w:tc>
      </w:tr>
      <w:tr>
        <w:trPr>
          <w:trHeight w:val="20"/>
        </w:trPr>
        <w:tc>
          <w:tcPr>
            <w:tcW w:w="7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420" w:type="dxa"/>
            <w:vAlign w:val="bottom"/>
            <w:shd w:val="clear" w:color="auto" w:fill="CFF0FC"/>
          </w:tcPr>
          <w:p>
            <w:pPr>
              <w:ind w:left="18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188,307</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188,220</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68,426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85,714</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7,653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7,569</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related to assets held for sale</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12,987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277,373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281,503</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697,168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736,523</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40,332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47,826</w:t>
            </w: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65,284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80,863</w:t>
            </w: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48,116</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27,920</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1,128,273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1,174,635</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 $.01 par value, authorized 5,000 shares; issued and outstanding: none</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$.01 par value, authorized 150,000 shares; issued: 112,491 and 111,867 shares,</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outstanding: 90,284 and 89,846 shares, respectively</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1,119</w:t>
            </w:r>
          </w:p>
        </w:tc>
      </w:tr>
      <w:tr>
        <w:trPr>
          <w:trHeight w:val="216"/>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1,238,402</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1,230,253</w:t>
            </w:r>
          </w:p>
        </w:tc>
      </w:tr>
      <w:tr>
        <w:trPr>
          <w:trHeight w:val="216"/>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46,678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577,519</w:t>
            </w:r>
          </w:p>
        </w:tc>
      </w:tr>
      <w:tr>
        <w:trPr>
          <w:trHeight w:val="216"/>
        </w:trPr>
        <w:tc>
          <w:tcPr>
            <w:tcW w:w="74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(81,053)</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(137,245)</w:t>
            </w:r>
          </w:p>
        </w:tc>
      </w:tr>
      <w:tr>
        <w:trPr>
          <w:trHeight w:val="209"/>
        </w:trPr>
        <w:tc>
          <w:tcPr>
            <w:tcW w:w="7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1,205,152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1,671,646</w:t>
            </w: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Treasury stock, at cost, 22,207 and 22,021 shares, respectively</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(730,147)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(728,733)</w:t>
            </w:r>
          </w:p>
        </w:tc>
      </w:tr>
      <w:tr>
        <w:trPr>
          <w:trHeight w:val="21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475,005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942,913</w:t>
            </w:r>
          </w:p>
        </w:tc>
      </w:tr>
      <w:tr>
        <w:trPr>
          <w:trHeight w:val="229"/>
        </w:trPr>
        <w:tc>
          <w:tcPr>
            <w:tcW w:w="74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1,603,278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2,117,548</w:t>
            </w:r>
          </w:p>
        </w:tc>
      </w:tr>
      <w:tr>
        <w:trPr>
          <w:trHeight w:val="20"/>
        </w:trPr>
        <w:tc>
          <w:tcPr>
            <w:tcW w:w="74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-4362450</wp:posOffset>
            </wp:positionV>
            <wp:extent cx="1111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-3531235</wp:posOffset>
            </wp:positionV>
            <wp:extent cx="1111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-1842135</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-599440</wp:posOffset>
            </wp:positionV>
            <wp:extent cx="1111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-316230</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JUNE 30,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1,559,780</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1,736,286</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1,796,643</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1,225,722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1,355,454</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1,400,229</w:t>
            </w:r>
          </w:p>
        </w:tc>
      </w:tr>
      <w:tr>
        <w:trPr>
          <w:trHeight w:val="209"/>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334,058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380,832</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396,414</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271,833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290,116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289,233</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428,882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66,940</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76,143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175,501</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21,530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27,741</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7,284</w:t>
            </w:r>
          </w:p>
        </w:tc>
      </w:tr>
      <w:tr>
        <w:trPr>
          <w:trHeight w:val="216"/>
        </w:trPr>
        <w:tc>
          <w:tcPr>
            <w:tcW w:w="6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6,476</w:t>
            </w:r>
          </w:p>
        </w:tc>
        <w:tc>
          <w:tcPr>
            <w:tcW w:w="1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10,016</w:t>
            </w:r>
          </w:p>
        </w:tc>
      </w:tr>
      <w:tr>
        <w:trPr>
          <w:trHeight w:val="209"/>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(461,603)</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(18,948)</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(85,620)</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51,253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57,213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45,783</w:t>
            </w:r>
          </w:p>
        </w:tc>
      </w:tr>
      <w:tr>
        <w:trPr>
          <w:trHeight w:val="216"/>
        </w:trPr>
        <w:tc>
          <w:tcPr>
            <w:tcW w:w="6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6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4,120</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and equity in net loss of equity-method investees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(513,731)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(80,281)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(129,581)</w:t>
            </w: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15,297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1,813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1,134</w:t>
            </w:r>
          </w:p>
        </w:tc>
      </w:tr>
      <w:tr>
        <w:trPr>
          <w:trHeight w:val="249"/>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14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(116,537)</w:t>
            </w:r>
          </w:p>
        </w:tc>
      </w:tr>
      <w:tr>
        <w:trPr>
          <w:trHeight w:val="413"/>
        </w:trPr>
        <w:tc>
          <w:tcPr>
            <w:tcW w:w="60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6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36"/>
        </w:trPr>
        <w:tc>
          <w:tcPr>
            <w:tcW w:w="6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tcBorders>
              <w:right w:val="single" w:sz="8" w:color="CFF0FC"/>
            </w:tcBorders>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r>
        <w:trPr>
          <w:trHeight w:val="197"/>
        </w:trPr>
        <w:tc>
          <w:tcPr>
            <w:tcW w:w="60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(5.89)</w:t>
            </w: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(0.84)</w:t>
            </w:r>
          </w:p>
        </w:tc>
        <w:tc>
          <w:tcPr>
            <w:tcW w:w="140" w:type="dxa"/>
            <w:vAlign w:val="bottom"/>
          </w:tcPr>
          <w:p>
            <w:pPr>
              <w:spacing w:after="0"/>
              <w:rPr>
                <w:sz w:val="17"/>
                <w:szCs w:val="17"/>
                <w:color w:val="auto"/>
              </w:rPr>
            </w:pP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(1.30)</w:t>
            </w:r>
          </w:p>
        </w:tc>
      </w:tr>
      <w:tr>
        <w:trPr>
          <w:trHeight w:val="20"/>
        </w:trPr>
        <w:tc>
          <w:tcPr>
            <w:tcW w:w="6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6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6"/>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used in the calculation of net loss per common share:</w:t>
            </w: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90,127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89,750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89,396</w:t>
            </w:r>
          </w:p>
        </w:tc>
      </w:tr>
      <w:tr>
        <w:trPr>
          <w:trHeight w:val="20"/>
        </w:trPr>
        <w:tc>
          <w:tcPr>
            <w:tcW w:w="6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602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right w:val="single" w:sz="8" w:color="CFF0FC"/>
            </w:tcBorders>
            <w:shd w:val="clear" w:color="auto" w:fill="CFF0FC"/>
          </w:tcPr>
          <w:p>
            <w:pPr>
              <w:jc w:val="right"/>
              <w:ind w:right="51"/>
              <w:spacing w:after="0" w:line="196" w:lineRule="exact"/>
              <w:rPr>
                <w:sz w:val="20"/>
                <w:szCs w:val="20"/>
                <w:color w:val="auto"/>
              </w:rPr>
            </w:pPr>
            <w:r>
              <w:rPr>
                <w:rFonts w:ascii="Times New Roman" w:cs="Times New Roman" w:eastAsia="Times New Roman" w:hAnsi="Times New Roman"/>
                <w:sz w:val="18"/>
                <w:szCs w:val="18"/>
                <w:color w:val="auto"/>
              </w:rPr>
              <w:t>90,127</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89,750</w:t>
            </w:r>
          </w:p>
        </w:tc>
        <w:tc>
          <w:tcPr>
            <w:tcW w:w="140" w:type="dxa"/>
            <w:vAlign w:val="bottom"/>
            <w:tcBorders>
              <w:bottom w:val="single" w:sz="8" w:color="CFF0FC"/>
              <w:right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89,396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-2211070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-2211070</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-1790700</wp:posOffset>
            </wp:positionV>
            <wp:extent cx="1028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-1790700</wp:posOffset>
            </wp:positionV>
            <wp:extent cx="939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-1224915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-1208405</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-1224915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-1208405</wp:posOffset>
            </wp:positionV>
            <wp:extent cx="939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-788035</wp:posOffset>
            </wp:positionV>
            <wp:extent cx="1028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-770890</wp:posOffset>
            </wp:positionV>
            <wp:extent cx="1028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-788035</wp:posOffset>
            </wp:positionV>
            <wp:extent cx="939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-770890</wp:posOffset>
            </wp:positionV>
            <wp:extent cx="93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JUNE 30,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Fiscal Year Ended June 30, 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7"/>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Fiscal Year Ended June 30, 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7"/>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Fiscal Year Ended June 30, 2023</w:t>
            </w:r>
          </w:p>
        </w:tc>
        <w:tc>
          <w:tcPr>
            <w:tcW w:w="0" w:type="dxa"/>
            <w:vAlign w:val="bottom"/>
          </w:tcPr>
          <w:p>
            <w:pPr>
              <w:spacing w:after="0"/>
              <w:rPr>
                <w:sz w:val="1"/>
                <w:szCs w:val="1"/>
                <w:color w:val="auto"/>
              </w:rPr>
            </w:pPr>
          </w:p>
        </w:tc>
      </w:tr>
      <w:tr>
        <w:trPr>
          <w:trHeight w:val="108"/>
        </w:trPr>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118"/>
              <w:spacing w:after="0" w:line="109" w:lineRule="exact"/>
              <w:rPr>
                <w:sz w:val="20"/>
                <w:szCs w:val="20"/>
                <w:color w:val="auto"/>
              </w:rPr>
            </w:pPr>
            <w:r>
              <w:rPr>
                <w:rFonts w:ascii="Times New Roman" w:cs="Times New Roman" w:eastAsia="Times New Roman" w:hAnsi="Times New Roman"/>
                <w:sz w:val="12"/>
                <w:szCs w:val="12"/>
                <w:b w:val="1"/>
                <w:bCs w:val="1"/>
                <w:color w:val="auto"/>
              </w:rPr>
              <w:t>Tax</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Pretax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Tax</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After tax</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Pretax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Tax</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After tax</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3"/>
                <w:szCs w:val="13"/>
                <w:b w:val="1"/>
                <w:bCs w:val="1"/>
                <w:color w:val="auto"/>
              </w:rPr>
              <w:t>Pretax</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(expense)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b w:val="1"/>
                <w:bCs w:val="1"/>
                <w:color w:val="auto"/>
                <w:w w:val="99"/>
              </w:rPr>
              <w:t>After tax</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3"/>
              </w:rPr>
              <w:t>benefit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benefit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8"/>
              </w:rPr>
              <w:t>amount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w w:val="99"/>
              </w:rPr>
              <w:t>benefit</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(530,841)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(75,042)</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(116,537)</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32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Foreign currency translation adjustments before</w:t>
            </w: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reclassifications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71,324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71,324</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(9,045)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30,197</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30,197</w:t>
            </w:r>
          </w:p>
        </w:tc>
        <w:tc>
          <w:tcPr>
            <w:tcW w:w="0" w:type="dxa"/>
            <w:vAlign w:val="bottom"/>
          </w:tcPr>
          <w:p>
            <w:pPr>
              <w:spacing w:after="0"/>
              <w:rPr>
                <w:sz w:val="1"/>
                <w:szCs w:val="1"/>
                <w:color w:val="auto"/>
              </w:rPr>
            </w:pPr>
          </w:p>
        </w:tc>
      </w:tr>
      <w:tr>
        <w:trPr>
          <w:trHeight w:val="117"/>
        </w:trPr>
        <w:tc>
          <w:tcPr>
            <w:tcW w:w="32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Change in deferred (losses) gains on cash flow hedging</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instruments</w:t>
            </w: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2,464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(6,812)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13,850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10,379</w:t>
            </w:r>
          </w:p>
        </w:tc>
        <w:tc>
          <w:tcPr>
            <w:tcW w:w="0" w:type="dxa"/>
            <w:vAlign w:val="bottom"/>
          </w:tcPr>
          <w:p>
            <w:pPr>
              <w:spacing w:after="0"/>
              <w:rPr>
                <w:sz w:val="1"/>
                <w:szCs w:val="1"/>
                <w:color w:val="auto"/>
              </w:rPr>
            </w:pPr>
          </w:p>
        </w:tc>
      </w:tr>
      <w:tr>
        <w:trPr>
          <w:trHeight w:val="117"/>
        </w:trPr>
        <w:tc>
          <w:tcPr>
            <w:tcW w:w="328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Change in deferred (losses) gains on fair value hedging</w:t>
            </w:r>
          </w:p>
        </w:tc>
        <w:tc>
          <w:tcPr>
            <w:tcW w:w="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instruments</w:t>
            </w:r>
          </w:p>
        </w:tc>
        <w:tc>
          <w:tcPr>
            <w:tcW w:w="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185</w:t>
            </w:r>
          </w:p>
        </w:tc>
        <w:tc>
          <w:tcPr>
            <w:tcW w:w="0" w:type="dxa"/>
            <w:vAlign w:val="bottom"/>
          </w:tcPr>
          <w:p>
            <w:pPr>
              <w:spacing w:after="0"/>
              <w:rPr>
                <w:sz w:val="1"/>
                <w:szCs w:val="1"/>
                <w:color w:val="auto"/>
              </w:rPr>
            </w:pPr>
          </w:p>
        </w:tc>
      </w:tr>
      <w:tr>
        <w:trPr>
          <w:trHeight w:val="117"/>
        </w:trPr>
        <w:tc>
          <w:tcPr>
            <w:tcW w:w="328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Change in deferred losses on net investment hedging</w:t>
            </w:r>
          </w:p>
        </w:tc>
        <w:tc>
          <w:tcPr>
            <w:tcW w:w="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(10,917)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2,710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(8,207)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38"/>
              <w:spacing w:after="0"/>
              <w:rPr>
                <w:sz w:val="20"/>
                <w:szCs w:val="20"/>
                <w:color w:val="auto"/>
              </w:rPr>
            </w:pPr>
            <w:r>
              <w:rPr>
                <w:rFonts w:ascii="Times New Roman" w:cs="Times New Roman" w:eastAsia="Times New Roman" w:hAnsi="Times New Roman"/>
                <w:sz w:val="13"/>
                <w:szCs w:val="13"/>
                <w:color w:val="auto"/>
              </w:rPr>
              <w:t>747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(2,495)</w:t>
            </w:r>
          </w:p>
        </w:tc>
        <w:tc>
          <w:tcPr>
            <w:tcW w:w="0" w:type="dxa"/>
            <w:vAlign w:val="bottom"/>
          </w:tcPr>
          <w:p>
            <w:pPr>
              <w:spacing w:after="0"/>
              <w:rPr>
                <w:sz w:val="1"/>
                <w:szCs w:val="1"/>
                <w:color w:val="auto"/>
              </w:rPr>
            </w:pPr>
          </w:p>
        </w:tc>
      </w:tr>
      <w:tr>
        <w:trPr>
          <w:trHeight w:val="140"/>
        </w:trPr>
        <w:tc>
          <w:tcPr>
            <w:tcW w:w="328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auto"/>
              </w:rPr>
              <w:t>instruments</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50,971</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5,221</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56,192</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(11,694)</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665</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(11,029)</w:t>
            </w:r>
          </w:p>
        </w:tc>
        <w:tc>
          <w:tcPr>
            <w:tcW w:w="22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41,052</w:t>
            </w:r>
          </w:p>
        </w:tc>
        <w:tc>
          <w:tcPr>
            <w:tcW w:w="180" w:type="dxa"/>
            <w:vAlign w:val="bottom"/>
            <w:gridSpan w:val="2"/>
            <w:shd w:val="clear" w:color="auto" w:fill="CFF0FC"/>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(2,786)</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38,266</w:t>
            </w:r>
          </w:p>
        </w:tc>
        <w:tc>
          <w:tcPr>
            <w:tcW w:w="0" w:type="dxa"/>
            <w:vAlign w:val="bottom"/>
          </w:tcPr>
          <w:p>
            <w:pPr>
              <w:spacing w:after="0"/>
              <w:rPr>
                <w:sz w:val="1"/>
                <w:szCs w:val="1"/>
                <w:color w:val="auto"/>
              </w:rPr>
            </w:pPr>
          </w:p>
        </w:tc>
      </w:tr>
      <w:tr>
        <w:trPr>
          <w:trHeight w:val="128"/>
        </w:trPr>
        <w:tc>
          <w:tcPr>
            <w:tcW w:w="328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Total comprehensive loss</w:t>
            </w: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(474,649)</w:t>
            </w: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(86,071)</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(78,271)</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-119380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-119380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-119380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-119380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-119380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-119380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-119380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-119380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JUNE 30,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1860" w:type="dxa"/>
            <w:vAlign w:val="bottom"/>
            <w:gridSpan w:val="4"/>
            <w:vMerge w:val="restart"/>
          </w:tcPr>
          <w:p>
            <w:pPr>
              <w:jc w:val="right"/>
              <w:ind w:right="533"/>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75"/>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34"/>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vMerge w:val="restart"/>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35"/>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314"/>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88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55"/>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900" w:type="dxa"/>
            <w:vAlign w:val="bottom"/>
            <w:tcBorders>
              <w:bottom w:val="single" w:sz="8" w:color="auto"/>
            </w:tcBorders>
          </w:tcPr>
          <w:p>
            <w:pPr>
              <w:jc w:val="right"/>
              <w:ind w:right="273"/>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3"/>
              <w:spacing w:after="0" w:line="129" w:lineRule="exact"/>
              <w:rPr>
                <w:sz w:val="20"/>
                <w:szCs w:val="20"/>
                <w:color w:val="auto"/>
              </w:rPr>
            </w:pPr>
            <w:r>
              <w:rPr>
                <w:rFonts w:ascii="Times New Roman" w:cs="Times New Roman" w:eastAsia="Times New Roman" w:hAnsi="Times New Roman"/>
                <w:sz w:val="12"/>
                <w:szCs w:val="12"/>
                <w:b w:val="1"/>
                <w:bCs w:val="1"/>
                <w:color w:val="auto"/>
              </w:rPr>
              <w:t>at $0.01</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14"/>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4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right"/>
              <w:ind w:right="293"/>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1"/>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35"/>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0"/>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2022</w:t>
            </w:r>
          </w:p>
        </w:tc>
        <w:tc>
          <w:tcPr>
            <w:tcW w:w="9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111,090</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1,111</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1,203,126</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769,098</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21,788</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(725,685)</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(164,482)</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1,083,168</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(116,537)</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(116,537)</w:t>
            </w: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ind w:right="55"/>
              <w:spacing w:after="0" w:line="149" w:lineRule="exact"/>
              <w:rPr>
                <w:sz w:val="20"/>
                <w:szCs w:val="20"/>
                <w:color w:val="auto"/>
              </w:rPr>
            </w:pPr>
            <w:r>
              <w:rPr>
                <w:rFonts w:ascii="Times New Roman" w:cs="Times New Roman" w:eastAsia="Times New Roman" w:hAnsi="Times New Roman"/>
                <w:sz w:val="14"/>
                <w:szCs w:val="14"/>
                <w:color w:val="auto"/>
              </w:rPr>
              <w:t>38,266</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38,266</w:t>
            </w: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stock-</w:t>
            </w:r>
          </w:p>
        </w:tc>
        <w:tc>
          <w:tcPr>
            <w:tcW w:w="9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based compensation plans</w:t>
            </w: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shares withheld for taxes</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3"/>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(1,415)</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
              <w:spacing w:after="0" w:line="149" w:lineRule="exact"/>
              <w:rPr>
                <w:sz w:val="20"/>
                <w:szCs w:val="20"/>
                <w:color w:val="auto"/>
              </w:rPr>
            </w:pPr>
            <w:r>
              <w:rPr>
                <w:rFonts w:ascii="Times New Roman" w:cs="Times New Roman" w:eastAsia="Times New Roman" w:hAnsi="Times New Roman"/>
                <w:sz w:val="14"/>
                <w:szCs w:val="14"/>
                <w:color w:val="auto"/>
              </w:rPr>
              <w:t>14,423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70"/>
              <w:spacing w:after="0" w:line="149" w:lineRule="exact"/>
              <w:rPr>
                <w:sz w:val="20"/>
                <w:szCs w:val="20"/>
                <w:color w:val="auto"/>
              </w:rPr>
            </w:pPr>
            <w:r>
              <w:rPr>
                <w:rFonts w:ascii="Times New Roman" w:cs="Times New Roman" w:eastAsia="Times New Roman" w:hAnsi="Times New Roman"/>
                <w:sz w:val="14"/>
                <w:szCs w:val="14"/>
                <w:color w:val="auto"/>
              </w:rPr>
              <w:t>14,423</w:t>
            </w:r>
          </w:p>
        </w:tc>
        <w:tc>
          <w:tcPr>
            <w:tcW w:w="0" w:type="dxa"/>
            <w:vAlign w:val="bottom"/>
          </w:tcPr>
          <w:p>
            <w:pPr>
              <w:spacing w:after="0"/>
              <w:rPr>
                <w:sz w:val="1"/>
                <w:szCs w:val="1"/>
                <w:color w:val="auto"/>
              </w:rPr>
            </w:pPr>
          </w:p>
        </w:tc>
      </w:tr>
      <w:tr>
        <w:trPr>
          <w:trHeight w:val="16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9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111,339</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rPr>
              <w:t>1,217,549</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652,561</w:t>
            </w: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4"/>
                <w:szCs w:val="14"/>
                <w:color w:val="auto"/>
              </w:rPr>
              <w:t>21,864</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(727,100)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(126,216)</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70"/>
              <w:spacing w:after="0" w:line="142" w:lineRule="exact"/>
              <w:rPr>
                <w:sz w:val="20"/>
                <w:szCs w:val="20"/>
                <w:color w:val="auto"/>
              </w:rPr>
            </w:pPr>
            <w:r>
              <w:rPr>
                <w:rFonts w:ascii="Times New Roman" w:cs="Times New Roman" w:eastAsia="Times New Roman" w:hAnsi="Times New Roman"/>
                <w:sz w:val="14"/>
                <w:szCs w:val="14"/>
                <w:color w:val="auto"/>
              </w:rPr>
              <w:t>1,017,907</w:t>
            </w: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-25400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-25400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-8255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-25400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-25400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Continued on next page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YEARS ENDED JUNE 30, 2025, 2024 AND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par values)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Continued from previous page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80" w:type="dxa"/>
            <w:vAlign w:val="bottom"/>
          </w:tcPr>
          <w:p>
            <w:pPr>
              <w:spacing w:after="0"/>
              <w:rPr>
                <w:sz w:val="12"/>
                <w:szCs w:val="12"/>
                <w:color w:val="auto"/>
              </w:rPr>
            </w:pPr>
          </w:p>
        </w:tc>
        <w:tc>
          <w:tcPr>
            <w:tcW w:w="1860" w:type="dxa"/>
            <w:vAlign w:val="bottom"/>
            <w:gridSpan w:val="4"/>
            <w:vMerge w:val="restart"/>
          </w:tcPr>
          <w:p>
            <w:pPr>
              <w:jc w:val="right"/>
              <w:ind w:right="532"/>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980" w:type="dxa"/>
            <w:vAlign w:val="bottom"/>
          </w:tcPr>
          <w:p>
            <w:pPr>
              <w:spacing w:after="0"/>
              <w:rPr>
                <w:sz w:val="11"/>
                <w:szCs w:val="11"/>
                <w:color w:val="auto"/>
              </w:rPr>
            </w:pPr>
          </w:p>
        </w:tc>
        <w:tc>
          <w:tcPr>
            <w:tcW w:w="1860" w:type="dxa"/>
            <w:vAlign w:val="bottom"/>
            <w:tcBorders>
              <w:bottom w:val="single" w:sz="8" w:color="auto"/>
            </w:tcBorders>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12"/>
              <w:spacing w:after="0" w:line="132"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ind w:right="133"/>
              <w:spacing w:after="0" w:line="13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212"/>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312"/>
              <w:spacing w:after="0" w:line="12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1880" w:type="dxa"/>
            <w:vAlign w:val="bottom"/>
            <w:tcBorders>
              <w:bottom w:val="single" w:sz="8" w:color="auto"/>
            </w:tcBorders>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53"/>
              <w:spacing w:after="0" w:line="129" w:lineRule="exact"/>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900" w:type="dxa"/>
            <w:vAlign w:val="bottom"/>
            <w:tcBorders>
              <w:bottom w:val="single" w:sz="8" w:color="auto"/>
            </w:tcBorders>
          </w:tcPr>
          <w:p>
            <w:pPr>
              <w:jc w:val="right"/>
              <w:ind w:right="27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2"/>
              <w:spacing w:after="0" w:line="129" w:lineRule="exact"/>
              <w:rPr>
                <w:sz w:val="20"/>
                <w:szCs w:val="20"/>
                <w:color w:val="auto"/>
              </w:rPr>
            </w:pPr>
            <w:r>
              <w:rPr>
                <w:rFonts w:ascii="Times New Roman" w:cs="Times New Roman" w:eastAsia="Times New Roman" w:hAnsi="Times New Roman"/>
                <w:sz w:val="12"/>
                <w:szCs w:val="12"/>
                <w:b w:val="1"/>
                <w:bCs w:val="1"/>
                <w:color w:val="auto"/>
              </w:rPr>
              <w:t>at $0.01</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292"/>
              <w:spacing w:after="0" w:line="129" w:lineRule="exact"/>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1"/>
                <w:szCs w:val="11"/>
                <w:color w:val="auto"/>
              </w:rPr>
            </w:pPr>
          </w:p>
        </w:tc>
        <w:tc>
          <w:tcPr>
            <w:tcW w:w="920" w:type="dxa"/>
            <w:vAlign w:val="bottom"/>
            <w:tcBorders>
              <w:bottom w:val="single" w:sz="8" w:color="auto"/>
            </w:tcBorders>
          </w:tcPr>
          <w:p>
            <w:pPr>
              <w:jc w:val="right"/>
              <w:ind w:right="292"/>
              <w:spacing w:after="0" w:line="129"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0"/>
              <w:spacing w:after="0" w:line="129" w:lineRule="exact"/>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center"/>
              <w:ind w:right="133"/>
              <w:spacing w:after="0" w:line="129" w:lineRule="exact"/>
              <w:rPr>
                <w:sz w:val="20"/>
                <w:szCs w:val="20"/>
                <w:color w:val="auto"/>
              </w:rPr>
            </w:pPr>
            <w:r>
              <w:rPr>
                <w:rFonts w:ascii="Times New Roman" w:cs="Times New Roman" w:eastAsia="Times New Roman" w:hAnsi="Times New Roman"/>
                <w:sz w:val="12"/>
                <w:szCs w:val="12"/>
                <w:b w:val="1"/>
                <w:bCs w:val="1"/>
                <w:color w:val="auto"/>
                <w:w w:val="94"/>
              </w:rPr>
              <w:t>Loss</w:t>
            </w: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89"/>
              <w:spacing w:after="0" w:line="129"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900" w:type="dxa"/>
            <w:vAlign w:val="bottom"/>
            <w:shd w:val="clear" w:color="auto" w:fill="CFF0FC"/>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111,339</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1,113</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1,217,549</w:t>
            </w:r>
          </w:p>
        </w:tc>
        <w:tc>
          <w:tcPr>
            <w:tcW w:w="2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652,561</w:t>
            </w: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21,864</w:t>
            </w:r>
          </w:p>
        </w:tc>
        <w:tc>
          <w:tcPr>
            <w:tcW w:w="2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(727,100)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(126,216)</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1,017,907</w:t>
            </w:r>
          </w:p>
        </w:tc>
        <w:tc>
          <w:tcPr>
            <w:tcW w:w="0" w:type="dxa"/>
            <w:vAlign w:val="bottom"/>
          </w:tcPr>
          <w:p>
            <w:pPr>
              <w:spacing w:after="0"/>
              <w:rPr>
                <w:sz w:val="1"/>
                <w:szCs w:val="1"/>
                <w:color w:val="auto"/>
              </w:rPr>
            </w:pPr>
          </w:p>
        </w:tc>
      </w:tr>
      <w:tr>
        <w:trPr>
          <w:trHeight w:val="142"/>
        </w:trPr>
        <w:tc>
          <w:tcPr>
            <w:tcW w:w="29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(75,042)</w:t>
            </w:r>
          </w:p>
        </w:tc>
        <w:tc>
          <w:tcPr>
            <w:tcW w:w="120" w:type="dxa"/>
            <w:vAlign w:val="bottom"/>
            <w:tcBorders>
              <w:top w:val="single" w:sz="8" w:color="CFF0F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(75,042)</w:t>
            </w: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(11,029)</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(11,029)</w:t>
            </w:r>
          </w:p>
        </w:tc>
        <w:tc>
          <w:tcPr>
            <w:tcW w:w="0" w:type="dxa"/>
            <w:vAlign w:val="bottom"/>
          </w:tcPr>
          <w:p>
            <w:pPr>
              <w:spacing w:after="0"/>
              <w:rPr>
                <w:sz w:val="1"/>
                <w:szCs w:val="1"/>
                <w:color w:val="auto"/>
              </w:rPr>
            </w:pPr>
          </w:p>
        </w:tc>
      </w:tr>
      <w:tr>
        <w:trPr>
          <w:trHeight w:val="126"/>
        </w:trPr>
        <w:tc>
          <w:tcPr>
            <w:tcW w:w="2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stock-</w:t>
            </w:r>
          </w:p>
        </w:tc>
        <w:tc>
          <w:tcPr>
            <w:tcW w:w="9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528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based compensation plans</w:t>
            </w: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Employee shares withheld for taxes</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49"/>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12,704</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12,704</w:t>
            </w:r>
          </w:p>
        </w:tc>
        <w:tc>
          <w:tcPr>
            <w:tcW w:w="0" w:type="dxa"/>
            <w:vAlign w:val="bottom"/>
          </w:tcPr>
          <w:p>
            <w:pPr>
              <w:spacing w:after="0"/>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2024</w:t>
            </w:r>
          </w:p>
        </w:tc>
        <w:tc>
          <w:tcPr>
            <w:tcW w:w="9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111,867</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1,119</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1,230,253</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577,519</w:t>
            </w:r>
          </w:p>
        </w:tc>
        <w:tc>
          <w:tcPr>
            <w:tcW w:w="120" w:type="dxa"/>
            <w:vAlign w:val="bottom"/>
          </w:tcPr>
          <w:p>
            <w:pPr>
              <w:spacing w:after="0"/>
              <w:rPr>
                <w:sz w:val="12"/>
                <w:szCs w:val="12"/>
                <w:color w:val="auto"/>
              </w:rPr>
            </w:pPr>
          </w:p>
        </w:tc>
        <w:tc>
          <w:tcPr>
            <w:tcW w:w="9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22,021</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(728,733)</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(137,245)</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942,913</w:t>
            </w:r>
          </w:p>
        </w:tc>
        <w:tc>
          <w:tcPr>
            <w:tcW w:w="0" w:type="dxa"/>
            <w:vAlign w:val="bottom"/>
          </w:tcPr>
          <w:p>
            <w:pPr>
              <w:spacing w:after="0"/>
              <w:rPr>
                <w:sz w:val="1"/>
                <w:szCs w:val="1"/>
                <w:color w:val="auto"/>
              </w:rPr>
            </w:pPr>
          </w:p>
        </w:tc>
      </w:tr>
      <w:tr>
        <w:trPr>
          <w:trHeight w:val="142"/>
        </w:trPr>
        <w:tc>
          <w:tcPr>
            <w:tcW w:w="29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80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(530,841)</w:t>
            </w:r>
          </w:p>
        </w:tc>
        <w:tc>
          <w:tcPr>
            <w:tcW w:w="12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(530,841)</w:t>
            </w: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ind w:right="33"/>
              <w:spacing w:after="0" w:line="149" w:lineRule="exact"/>
              <w:rPr>
                <w:sz w:val="20"/>
                <w:szCs w:val="20"/>
                <w:color w:val="auto"/>
              </w:rPr>
            </w:pPr>
            <w:r>
              <w:rPr>
                <w:rFonts w:ascii="Times New Roman" w:cs="Times New Roman" w:eastAsia="Times New Roman" w:hAnsi="Times New Roman"/>
                <w:sz w:val="14"/>
                <w:szCs w:val="14"/>
                <w:color w:val="auto"/>
              </w:rPr>
              <w:t>56,192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56,192</w:t>
            </w:r>
          </w:p>
        </w:tc>
        <w:tc>
          <w:tcPr>
            <w:tcW w:w="0" w:type="dxa"/>
            <w:vAlign w:val="bottom"/>
          </w:tcPr>
          <w:p>
            <w:pPr>
              <w:spacing w:after="0"/>
              <w:rPr>
                <w:sz w:val="1"/>
                <w:szCs w:val="1"/>
                <w:color w:val="auto"/>
              </w:rPr>
            </w:pPr>
          </w:p>
        </w:tc>
      </w:tr>
      <w:tr>
        <w:trPr>
          <w:trHeight w:val="126"/>
        </w:trPr>
        <w:tc>
          <w:tcPr>
            <w:tcW w:w="298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pursuant to stock-</w:t>
            </w:r>
          </w:p>
        </w:tc>
        <w:tc>
          <w:tcPr>
            <w:tcW w:w="90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624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ind w:right="4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based compensation plans</w:t>
            </w: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shares withheld for taxes</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148"/>
        </w:trPr>
        <w:tc>
          <w:tcPr>
            <w:tcW w:w="29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8,149</w:t>
            </w:r>
          </w:p>
        </w:tc>
        <w:tc>
          <w:tcPr>
            <w:tcW w:w="1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9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49"/>
              <w:spacing w:after="0" w:line="149" w:lineRule="exact"/>
              <w:rPr>
                <w:sz w:val="20"/>
                <w:szCs w:val="20"/>
                <w:color w:val="auto"/>
              </w:rPr>
            </w:pPr>
            <w:r>
              <w:rPr>
                <w:rFonts w:ascii="Times New Roman" w:cs="Times New Roman" w:eastAsia="Times New Roman" w:hAnsi="Times New Roman"/>
                <w:sz w:val="14"/>
                <w:szCs w:val="14"/>
                <w:color w:val="auto"/>
              </w:rPr>
              <w:t>8,149</w:t>
            </w:r>
          </w:p>
        </w:tc>
        <w:tc>
          <w:tcPr>
            <w:tcW w:w="0" w:type="dxa"/>
            <w:vAlign w:val="bottom"/>
          </w:tcPr>
          <w:p>
            <w:pPr>
              <w:spacing w:after="0"/>
              <w:rPr>
                <w:sz w:val="1"/>
                <w:szCs w:val="1"/>
                <w:color w:val="auto"/>
              </w:rPr>
            </w:pPr>
          </w:p>
        </w:tc>
      </w:tr>
      <w:tr>
        <w:trPr>
          <w:trHeight w:val="142"/>
        </w:trPr>
        <w:tc>
          <w:tcPr>
            <w:tcW w:w="29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June 30, 2025</w:t>
            </w:r>
          </w:p>
        </w:tc>
        <w:tc>
          <w:tcPr>
            <w:tcW w:w="9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112,491</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1,125</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1,238,402</w:t>
            </w:r>
          </w:p>
        </w:tc>
        <w:tc>
          <w:tcPr>
            <w:tcW w:w="2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32"/>
              <w:spacing w:after="0" w:line="142" w:lineRule="exact"/>
              <w:rPr>
                <w:sz w:val="20"/>
                <w:szCs w:val="20"/>
                <w:color w:val="auto"/>
              </w:rPr>
            </w:pPr>
            <w:r>
              <w:rPr>
                <w:rFonts w:ascii="Times New Roman" w:cs="Times New Roman" w:eastAsia="Times New Roman" w:hAnsi="Times New Roman"/>
                <w:sz w:val="14"/>
                <w:szCs w:val="14"/>
                <w:color w:val="auto"/>
              </w:rPr>
              <w:t>46,678</w:t>
            </w:r>
          </w:p>
        </w:tc>
        <w:tc>
          <w:tcPr>
            <w:tcW w:w="120" w:type="dxa"/>
            <w:vAlign w:val="bottom"/>
          </w:tcPr>
          <w:p>
            <w:pPr>
              <w:spacing w:after="0"/>
              <w:rPr>
                <w:sz w:val="12"/>
                <w:szCs w:val="12"/>
                <w:color w:val="auto"/>
              </w:rPr>
            </w:pPr>
          </w:p>
        </w:tc>
        <w:tc>
          <w:tcPr>
            <w:tcW w:w="92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color w:val="auto"/>
              </w:rPr>
              <w:t>22,207</w:t>
            </w:r>
          </w:p>
        </w:tc>
        <w:tc>
          <w:tcPr>
            <w:tcW w:w="2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(730,147)</w:t>
            </w:r>
          </w:p>
        </w:tc>
        <w:tc>
          <w:tcPr>
            <w:tcW w:w="2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(81,053)</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49"/>
              <w:spacing w:after="0" w:line="142" w:lineRule="exact"/>
              <w:rPr>
                <w:sz w:val="20"/>
                <w:szCs w:val="20"/>
                <w:color w:val="auto"/>
              </w:rPr>
            </w:pPr>
            <w:r>
              <w:rPr>
                <w:rFonts w:ascii="Times New Roman" w:cs="Times New Roman" w:eastAsia="Times New Roman" w:hAnsi="Times New Roman"/>
                <w:sz w:val="14"/>
                <w:szCs w:val="14"/>
                <w:color w:val="auto"/>
              </w:rPr>
              <w:t>475,005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-1473835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-1473835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-1473835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-1473835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-1473835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-1473835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-1473835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-805180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-805180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-805180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-805180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-805180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-805180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-805180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-128270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-128270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-128270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-128270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-128270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-128270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-128270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HAIN CELESTIAL GROUP, INC. AND SUBSIDIARIES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YEARS ENDED JUNE 30, 2025, 2024 AND 2023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(116,537)</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50,777</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(25,953)</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14,423</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66,940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76,143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175,501</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3,634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non-cash items,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attributable to changes in operating assets and liabilities: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(18,963)</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13,067</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14,106</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2,546</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(17,892)</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(40,697)</w:t>
            </w:r>
          </w:p>
        </w:tc>
      </w:tr>
      <w:tr>
        <w:trPr>
          <w:trHeight w:val="20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116,355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66,819</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(27,879)</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and joint ventures, including proceeds from dispositions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7,806</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termination of net investment hedges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(23,922)</w:t>
            </w: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1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bank revolving credit facility</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328,000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under bank revolving credit facility</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(245,500)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(252,000)</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Repayments under term loan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other debt,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Employee shares withheld for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termination of fair value hedge</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(43,886)</w:t>
            </w:r>
          </w:p>
        </w:tc>
        <w:tc>
          <w:tcPr>
            <w:tcW w:w="6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(89,729)</w:t>
            </w: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(63,060)</w:t>
            </w:r>
          </w:p>
        </w:tc>
      </w:tr>
      <w:tr>
        <w:trPr>
          <w:trHeight w:val="210"/>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3,733</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(12,148)</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54,307</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53,364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65,512</w:t>
            </w: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54,355</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54,307</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53,364</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-2699385</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-2699385</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-1859280</wp:posOffset>
            </wp:positionV>
            <wp:extent cx="1028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-1859280</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-744855</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-744855</wp:posOffset>
            </wp:positionV>
            <wp:extent cx="939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-453390</wp:posOffset>
            </wp:positionV>
            <wp:extent cx="102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-453390</wp:posOffset>
            </wp:positionV>
            <wp:extent cx="93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except par values and per share data)</w:t>
      </w:r>
    </w:p>
    <w:p>
      <w:pPr>
        <w:spacing w:after="0" w:line="162" w:lineRule="exact"/>
        <w:rPr>
          <w:sz w:val="20"/>
          <w:szCs w:val="20"/>
          <w:color w:val="auto"/>
        </w:rPr>
      </w:pPr>
    </w:p>
    <w:p>
      <w:pPr>
        <w:ind w:right="5640" w:firstLine="8"/>
        <w:spacing w:after="0" w:line="464" w:lineRule="auto"/>
        <w:tabs>
          <w:tab w:leader="none" w:pos="37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jc w:val="both"/>
        <w:spacing w:after="0" w:line="256" w:lineRule="auto"/>
        <w:rPr>
          <w:sz w:val="20"/>
          <w:szCs w:val="20"/>
          <w:color w:val="auto"/>
        </w:rPr>
      </w:pPr>
      <w:r>
        <w:rPr>
          <w:rFonts w:ascii="Times New Roman" w:cs="Times New Roman" w:eastAsia="Times New Roman" w:hAnsi="Times New Roman"/>
          <w:sz w:val="18"/>
          <w:szCs w:val="18"/>
          <w:color w:val="auto"/>
        </w:rPr>
        <w:t>The Hain Celestial Group, Inc., a Delaware corporation (collectively with its subsidiaries, the “Company,” or “Hain Celestial,” “we,” “us” or “our”) was founded in 1993. Hain Celestial is a leading global health and wellness company whose purpose is to inspire healthier living for people, communities and the planet through better-for-you brands. For more than 30 years, Hain Celestial has intentionally focused on delivering nutrition and well-being that positively impacts today and tomorrow. Headquartered in Hoboken, N.J., Hain Celestial’s products across snacks, baby &amp; kids, beverages, and meal preparation are marketed and sold in over 70 countries around the world. The Company operates under two reportable segments: North America and International.</w:t>
      </w:r>
    </w:p>
    <w:p>
      <w:pPr>
        <w:spacing w:after="0" w:line="154"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Company’s leading brands include Garden Veggie Snacks™, Terra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chips, Garden of Eatin’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snacks, Hartley’s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jelly,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Organic and Ella’s Kitchen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and kids foods, Celestial Seasonings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teas,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Natumi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plant-based beverages, The Greek Gods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yogurt, Cully &amp; Sully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Yorkshire Provender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New Covent Garden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soups, among others.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Review</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focused on five actions to win in the marketplace and drive growth: aggressively streamlining our portfolio, accelerating brand renovation and innovation, implementing price increases along with broader revenue growth management, driving productivity and working capital efficiency, and enhancing our digital capabilities, inclusive of ecommerce.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fiscal year 2025, we announced that our Board of Directors was conducting a comprehensive review of the Company’s portfolio with the assistance of our independent financial advisor. The Board is considering a broad range of strategic options to enhance value. Also, in the third quarter of fiscal year 2025, we announced that we were exploring strategic alternatives regarding our personal care business to focus on our portfolio of better-for-you food and beverages. The personal care business meets the criteria to be classified as held for sale as of June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accounts of the Company and its wholly-owned and majority-owned subsidiaries. Intercompany accounts and transactions have been eliminated in consolidation. Investments in affiliated companies in which the Company exerts significant influence, but which it does not control, are accounted for under the equity method of accounting. As such, consolidated net loss includes the Company’s equity in the current earnings or losses of such companies.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these consolidated financial statements to 2025, 2024 and 2023 or “fiscal” 2025, 2024 and 2023 or other years refer to the fiscal year ended June 30 of that respective year and references to 2025 or “fiscal” 2025 refer to the fiscal year ending June 30,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dollar amounts in the consolidated financial statements, notes and tables have been rounded to the nearest thousands, except par values and per share amounts,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with current year presentation on the consolidated balance sheets related to investments and joint ventures to include it as part of other current assets. There were no reclassifications made to the consolidated statement of operations, consolidated statements of changes in stockholders’ equity or consolidated statements of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accordance with accounting principles generally accepted in the United States (“U.S. GAAP”). The accounting principles used required the Company to make estimates and assumptions that affect the reported amounts of assets and liabilities at the date of the financial statements and amounts of income and expenses during the reporting periods presented. Actual results could differ from those estimates. These estimates include, among others, variable consideration related to revenue recognition for trade promotions and sales incentives, allowances for credit losses and returns, valuation of</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long-lived assets, goodwill and intangible assets (acquired in business combinations and analysis of impairment), stock-based compensation for market awards, and valuation allowances for deferred tax assets.</w:t>
      </w:r>
    </w:p>
    <w:p>
      <w:pPr>
        <w:spacing w:after="0" w:line="117"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PRACTICES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cash and cash equivalents to include cash in banks, commercial paper and deposits with financial institutions that can be liquidated without prior notice or penalty. The Company considers all highly liquid investments with an original maturity of three months or less to be cash equivalents.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cash and cash equivalents are maintained with several financial institutions. Deposits held with banks may exceed the amount of insurance provided on such deposits. Generally, these deposits may be redeemed upon demand.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sells its products through specialty and natural food distributors, supermarkets, natural foods stores, mass-market and e-commerce retailers, food service channels and club, drug and convenience stores worldwide. The majority of the Company’s revenue contracts represent a single performance obligation related to the fulfillment of customer orders for the purchase of products. The Company recognizes revenue as performance obligations are fulfilled when control passes to customers, which is typically upon delivery of the products to its customers. Customer contracts typically contain standard terms and conditions. In instances where formal written contracts are not in place, the Company considers the customer purchase orders to be contracts based on the criteria outlined in Accounting Standard Codification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Payment terms and conditions vary by customer and are based on the billing schedule established in contracts or purchase orders with customers, but the Company generally provides credit terms to customers ranging from 30-91 days. Therefore, the Company has concluded that contracts do not include a significant financing component.</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include shipping and handling charges billed to the customer and are reported net of trade promotions and sales incentives, consumer coupon programs and discounts, including estimated allowances for returns and prompt pay discounts. Shipping and handling costs are accounted for as a fulfillment activity of promise to transfer products to customers and are included in the cost of sales line item on the consolidated statements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fixed contract consideration, many of the Company’s contracts include some form of variable consideration. The Company offers various trade promotions and sales incentive programs to customers and consumers, such as price discounts, slotting fees, in-store display incentives, cooperative advertising programs, new product introduction fees and coupons. The expenses associated with these programs are accounted for as reductions to the transaction price of the products and are therefore deducted from sales to determine reported net sales. Trade promotions and sales incentive accruals are subject to significant management estimates and assumptions. The critical assumptions used in estimating the accruals for trade promotions and sales incentives include the Company’s estimate of expected levels of performance and redemption rates. The Company exercises judgment in developing these assumptions. These assumptions are based upon historical performance of the retailer or distributor customers with similar types of promotions adjusted for current trends. The Company regularly reviews and revises, when deemed necessary, estimates of costs to the Company for these promotions and incentives based on what has been incurred by the customers. The terms of most of the promotion and incentive arrangements do not exceed a year and therefore do not require highly uncertain long-term estimates. Settlement of these liabilities typically occurs in subsequent periods primarily through an authorization process for deductions taken by a customer from amounts otherwise due to the Company. Differences between estimated expense and actual promotion and incentive costs are recognized in earnings in the period such differences are determined. Actual expenses may differ if the level of redemption rates and performance were to vary from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the Company’s contracts are generally shorter than one year, the Company has elected a practical expedient under ASC 606 that allows the Company to expense as incurred the incremental costs of obtaining a contract if the contract period is for one year or less. These costs are included in selling, general and administrative expenses on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Allowances for Credit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routinely performs credit evaluations on existing and new customers and maintains an allowance for expected uncollectible accounts receivable which is recorded as an offset to trade accounts receivable on the consolidated balance sheets. Collectability of accounts receivable is assessed by applying a historical loss-rate methodology in accordance with ASC Topic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adjusted as necessary based on the Company’s review of accounts receivable on an individual basis, specifically identifying customers with known disputes or collectability issues, and experience with trade</w:t>
      </w:r>
    </w:p>
    <w:p>
      <w:pPr>
        <w:sectPr>
          <w:pgSz w:w="11900" w:h="16838" w:orient="portrait"/>
          <w:cols w:equalWidth="0" w:num="1">
            <w:col w:w="11240"/>
          </w:cols>
          <w:pgMar w:left="320" w:top="117" w:right="339" w:bottom="1440" w:gutter="0" w:footer="0" w:header="0"/>
        </w:sect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receivable aging categories. The Company also considers market conditions and current and expected future economic conditions to inform adjustments to historical loss data. Changes to the allowance, if any, are classified as bad debt provisions within selling, general and administrative expenses on the consolidated statements of operations. Credit losses have been within the Company’s expectations in recent years and are not material. While one of the Company’s customers represented approximately 18% and 19% of trade receivables balances as of June 30, 2025 and 2024, respectively, the Company believes that there is no significant or unusual credit exposure at this time.</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cash collection history and other statistical analysis, the Company estimates the amount of unauthorized deductions customers have taken that the Company expects will be collected and repaid in the near future and records a chargeback receivable which is a component of trade receivables. Differences between estimated collectible receivables and actual collections are recognized in earnings in the period such differences are determined.</w:t>
      </w:r>
    </w:p>
    <w:p>
      <w:pPr>
        <w:spacing w:after="0" w:line="149" w:lineRule="exact"/>
        <w:rPr>
          <w:sz w:val="20"/>
          <w:szCs w:val="20"/>
          <w:color w:val="auto"/>
        </w:rPr>
      </w:pPr>
    </w:p>
    <w:p>
      <w:pPr>
        <w:ind w:right="40"/>
        <w:spacing w:after="0" w:line="453" w:lineRule="auto"/>
        <w:rPr>
          <w:sz w:val="20"/>
          <w:szCs w:val="20"/>
          <w:color w:val="auto"/>
        </w:rPr>
      </w:pPr>
      <w:r>
        <w:rPr>
          <w:rFonts w:ascii="Times New Roman" w:cs="Times New Roman" w:eastAsia="Times New Roman" w:hAnsi="Times New Roman"/>
          <w:sz w:val="18"/>
          <w:szCs w:val="18"/>
          <w:color w:val="auto"/>
        </w:rPr>
        <w:t xml:space="preserve">Sales to one customer and its affiliates approximated 18%, 18% and 16% of sales during the fiscal years ended June 30, 2025, 2024 and 2023, respectively. </w:t>
      </w:r>
      <w:r>
        <w:rPr>
          <w:rFonts w:ascii="Times New Roman" w:cs="Times New Roman" w:eastAsia="Times New Roman" w:hAnsi="Times New Roman"/>
          <w:sz w:val="18"/>
          <w:szCs w:val="18"/>
          <w:b w:val="1"/>
          <w:bCs w:val="1"/>
          <w:i w:val="1"/>
          <w:iCs w:val="1"/>
          <w:color w:val="auto"/>
        </w:rPr>
        <w:t>Inventory</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is valued at the lower of cost or net realizable value, utilizing the first-in, first-out method. The Company provides write-downs for finished goods expected to become unsaleable due to age and specifically identifies and provides for slow moving or obsolete raw ingredients and packaging.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Property, plant and equipment is carried at cost and depreciated or amortized on a straight-line basis over the estimated useful lives or lease term (for leasehold improvements), whichever is shorter. The Company believes the useful lives assigned to the Company’s property, plant and equipment are within ranges generally used in consumer products manufacturing and distribution businesses. The Company’s manufacturing plants and distribution centers, and their related assets, are reviewed when impairment indicators are present by analyzing underlying cash flow projections. The Company believes no impairment of the carrying value of such assets exists other than as disclosed under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Ordinary repairs and maintenance costs are expensed as incurred. The Company utilizes the following ranges of asset lives:</w:t>
      </w:r>
    </w:p>
    <w:p>
      <w:pPr>
        <w:spacing w:after="0" w:line="241" w:lineRule="exact"/>
        <w:rPr>
          <w:sz w:val="20"/>
          <w:szCs w:val="20"/>
          <w:color w:val="auto"/>
        </w:rPr>
      </w:pPr>
    </w:p>
    <w:tbl>
      <w:tblPr>
        <w:tblLayout w:type="fixed"/>
        <w:tblInd w:w="276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- 40 years</w:t>
            </w: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- 20 years</w:t>
            </w:r>
          </w:p>
        </w:tc>
      </w:tr>
      <w:tr>
        <w:trPr>
          <w:trHeight w:val="27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- 15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 respective initial lease term or the estimated useful life of the assets and generally range from 3 to 20 years.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Software that is developed for internal use is recorded as a component of property, plant and equipment. Qualifying costs incurred to develop internal-use software are capitalized when (i) the preliminary project stage is completed, (ii) management has authorized further funding for the completion of the project and (iii) it is probable that the project will be completed and perform as intended. These capitalized costs include compensation for employees who develop internal-use software and external costs related to development of internal-use software. Capitalization of these costs ceases once the project is substantially complete and the software is ready for its intended purpose. Once placed into service, internally developed software is amortized on a straight-line basis over its estimated useful life which generally ranges from 3 to 10 years. All other expenditures, including those incurred in order to maintain the asset’s current level of performance, are expensed as incurred. The net book value of internally developed software as of June 30, 2025 and 2024 was $11,861 and $12,240, respectively, and is included as a component of Computer Hardware and Software in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Indefinite-Lived Intangible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and other intangible assets with indefinite useful lives are not amortized but rather are tested at least annually for impairment, or when circumstances indicate that the carrying amount of the asset may not be recoverable. The Company performs its annual test for impairment at the beginning of the fourth quarter of its fiscal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The Company may elect not to perform the qualitative assessment for some or all reporting units and perform a quantitative impairment test. The impairment test for goodwill requires the Company to compare the fair value of a reporting unit to its carrying value. The Company uses a blended analysis of a discounted cash flow</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model and a market valuation approach to determine the fair values of its reporting units. If the carrying value of a reporting unit exceeds its fair value, the Company would then compare the carrying value of the goodwill to its implied fair value in order to determine the amount of the impairment, if any.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Indefinite-lived intangible assets, which are not amortized, consist primarily of acquired trademarks and tradenames. Indefinite-lived intangible assets are evaluated on an annual basis in conjunction with the Company’s evaluation of goodwill, or on an interim basis if and when events or circumstances change that would more likely than not reduce the fair value of any of its indefinite-lived intangible assets below their carrying value. In assessing fair value, the Company utilizes a “relief from royalty” methodology. This approach involves two steps: (i) estimating the royalty rates for each trademark and (ii) applying these royalty rates to a projected net sales stream and discounting the resulting cash flows to determine fair value. If the carrying value of the indefinite-lived intangible assets exceeds the fair value of the assets, the carrying value is written down to fair value in the period identified. This method includes significant management assumptions such as revenue growth rates, weighted average cost of capital and assumed royalty rates. See Note 9, </w:t>
      </w:r>
      <w:r>
        <w:rPr>
          <w:rFonts w:ascii="Times New Roman" w:cs="Times New Roman" w:eastAsia="Times New Roman" w:hAnsi="Times New Roman"/>
          <w:sz w:val="18"/>
          <w:szCs w:val="18"/>
          <w:i w:val="1"/>
          <w:iCs w:val="1"/>
          <w:color w:val="auto"/>
        </w:rPr>
        <w:t xml:space="preserve">Goodwill and Other Intangible Assets </w:t>
      </w:r>
      <w:r>
        <w:rPr>
          <w:rFonts w:ascii="Times New Roman" w:cs="Times New Roman" w:eastAsia="Times New Roman" w:hAnsi="Times New Roman"/>
          <w:sz w:val="18"/>
          <w:szCs w:val="18"/>
          <w:color w:val="auto"/>
        </w:rPr>
        <w:t>and Note 16,</w:t>
      </w:r>
      <w:r>
        <w:rPr>
          <w:rFonts w:ascii="Times New Roman" w:cs="Times New Roman" w:eastAsia="Times New Roman" w:hAnsi="Times New Roman"/>
          <w:sz w:val="18"/>
          <w:szCs w:val="18"/>
          <w:i w:val="1"/>
          <w:iCs w:val="1"/>
          <w:color w:val="auto"/>
        </w:rPr>
        <w:t xml:space="preserve"> Fair Value Measurements, </w:t>
      </w:r>
      <w:r>
        <w:rPr>
          <w:rFonts w:ascii="Times New Roman" w:cs="Times New Roman" w:eastAsia="Times New Roman" w:hAnsi="Times New Roman"/>
          <w:sz w:val="18"/>
          <w:szCs w:val="18"/>
          <w:color w:val="auto"/>
        </w:rPr>
        <w:t>for additional information on goodwill and intangibles impairment charges.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Financial Assets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transfers of financial assets, such as non-recourse accounts receivable financing arrangements, when the Company has surrendered control over the related assets. Determining whether control has transferred requires an evaluation of relevant legal considerations, an assessment of the nature and extent of the Company’s continuing involvement with the assets transferred and any other relevant considerations. The Company has non-recourse financing arrangements in which eligible receivables are sold to third-party buyers in exchange for cash. The Company transferred accounts receivable in their entirety to the buyers and satisfied all of the conditions to report the transfer of financial assets in their entirety as a sale. The principal amount of receivables sold under these arrangements was $289,431, $284,891 and $380,683 during the fiscal years ended June 30, 2025, 2024 and 2023, respectively. The incremental cost of financing receivables under these arrangements is included in selling, general and administrative expenses on the Company’s consolidated statements of operations. The proceeds from the sale of receivables are included in cash provided by operating activities on the consolidated statements of cash flows.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cost of sales are the cost of products sold, including the costs of raw materials and labor and overhead required to produce the products, warehousing, distribution, supply chain costs, as well as costs associated with shipping and handling of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assets and liabilities of international operations are translated at the exchange rates in effect at the balance sheet date. Revenue and expense accounts are translated at the monthly average exchange rates. Adjustments arising from the translation of the foreign currency financial statements of the Company’s international operations are reported as a component of accumulated other comprehensive loss on the consolidated balance sheets. Gains and losses arising from intercompany foreign currency transactions that are of a long-term nature are reported in the same manner as translation adjustments.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Gains and losses arising from intercompany foreign currency transactions that are not of a long-term nature and certain transactions of the Company’s subsidiaries which are denominated in currencies other than the subsidiaries’ functional currency are recognized as incurred in other expense (income), net on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Included in selling, general and administrative expenses are advertising costs, promotion costs not paid directly to the Company’s customers, salary and related benefit costs of the Company’s employees in the finance, human resources, information technology, legal, sales and marketing functions, facility related costs of the Company’s administrative functions, research and development costs, and costs paid to consultants and third party providers for related services.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included in selling, general and administrative expenses on the consolidated statements of operations. Research and development costs amounted to $5,222, $5,366 and $6,379 in fiscal 2025, 2024 and 2023, respectively, consisting primarily of personnel related costs. The Company’s research and development expenditures do not include the expenditures on such activities undertaken by co-packers and suppliers who develop numerous products on behalf of the Company and on their own initiative with the expectation that the Company will accept their new product ideas and market them under the Company’s brands.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which are included in selling, general and administrative expenses, amounted to $31,489, $39,660 and $43,035 in fiscal 2025, 2024 and 2023, respectively. Such costs are expensed as incurred.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Proceeds from Insurance Claims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2024, and 2023, the Company received $1,297 and $8,594 of proceeds from insurance claims, respectively, which are included in selling, general and administrative expenses on the consolidated statements of operations. There were no proceeds received from insurance claims in fiscal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the liability method of accounting for income taxes. Under the liability method, deferred taxes are determined based on the differences between the financial statement and tax bases of assets and liabilities at enacted rates in effect in the years in which the differences are expected to reverse. The Company also assesses the likelihood of future realization of deferred tax assets, including recent earnings results within taxing jurisdictions, expectations of future taxable income, the carryforward periods available and other relevant factors. Valuation allowances are provided for deferred tax assets to the extent it is more likely than not that the deferred tax assets will not be recoverable against future taxable income.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prescribed by the authoritative guidance. The first step requires the Company to determine if the weight of available evidence indicates that the tax position has met the threshold for recognition; therefore, the Company must evaluate whether it is more likely than not that the position will be sustained on audit, including resolution of any related appeals or litigation processes. The second step requires the Company to measure the tax benefit of the tax position taken, or expected to be taken, in an income tax return as the largest amount that is more than 50% likely of being realized upon ultimate settlement. The Company reevaluates the uncertain tax positions each period based on factors including, but not limited to, changes in facts or circumstances, changes in tax law, effectively settled issues under audit, and new audit activity. Depending on the jurisdiction, such a change in recognition or measurement may result in the recognition of a tax benefit or an additional charge to the tax provision in the period. The Company records interest and penalties in the provision for income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financial instruments is the amount at which the instrument could be exchanged in a current transaction between willing parties. At June 30, 2025 and 2024, the carrying values of financial instruments such as accounts receivable, accounts payable, accrued expenses and other current liabilities, as well as borrowings under the Company’s credit facility and other borrowings, approximated fair value based upon either the short-term maturities or market interest rates of these instruments.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records all derivatives on the consolidated balance sheets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effective portion of changes in the fair value of derivative instruments that qualify for cash flow hedge and net investment hedge accounting treatment are recognized in stockholders’ equity as a component of accumulated other comprehensive loss until the hedged item is recognized in earnings. Changes in the fair value of fair value hedges, derivatives that do not qualify for hedge accounting treatment, as well as the ineffective portion of any cash flow hedges, are recognized currently in earnings as a component of interest and other financing expense, net on the consolidated statements of operations. The Company reports cash flows arising from derivative instruments consistent with the classification of cash flows from the</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underlying hedged items that these derivatives are hedging. Accordingly, the cash flows associated with derivatives designated as net investment hedges and fair value hedges are classified in cash flows from investing and financing activities, respectively, on the consolidated statements of cash flows. The Company may enter into derivative contracts that are intended to economically hedge certain of its risks, even though hedge accounting does not apply, or the Company elects not to apply hedge accounting.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uses the fair market value of the Company’s common stock on the grant date to measure fair value for service-based awards and a Monte Carlo simulation model to determine the fair value of market-based awards. The Company uses historical volatility to calculate the expected volatility matching the expected holding period. The fair value of stock-based compensation awards is recognized as an expense over the vesting period using the straight-line method. For awards that contain a market condition, expense is recognized over the defined or derived service period using a Monte Carlo simulation model. Compensation expense is recognized for these awards on a straight-line basis over the service period, regardless of the eventual number of shares that are earned based upon the market condition, provided that each grantee remains an employee at the end of the performance period. Compensation expense on awards that contain a market condition is reversed if at any time during the service period a grantee is no longer an employee.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forfeitures as they occur at which time compensation cost previously recognized for an award that is forfeited because of failure to satisfy a condition is reversed in the period of the forfeiture.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an income tax deduction in certain tax jurisdictions for restricted stock grants when they vest and for stock options exercised by employees equal to the excess of the market value of the Company’s common stock on the date of exercise over the option price. Excess tax benefits (tax benefits resulting from tax deductions in excess of compensation cost recognized) are classified as a cash flow provided by operating activities on the consolidated statements of cash flows.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periodically evaluates the carrying value of long-lived assets held and used in the business and with definite lives, when events and circumstances occur indicating that the carrying amount of the asset or its asset group may not be recoverable. An impairment test is performed when the estimated undiscounted cash flows associated with the asset or asset group is less than its carrying value. If the undiscounted cash flows are less than the carrying value of the asset or its asset group, the Company performs test to fair value the asset or its asset group. A loss is recognized based on the amount, if any, by which the carrying value exceeds the estimated fair value of the asset or asset group.</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7,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and Note 16,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additional information on long-lived asset impairment charges.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certain finance leases, an implicit rate of return is not readily determinable for the Company’s leases. For these leases, an incremental borrowing rate is used in determining the present value of lease payments and is calculated based on information available at the lease commencement date. 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that the option will be exercised. Leases with an initial term of 12 months or less are not recognized on the consolidated balance sheets. The Company has elected to separate lease and non-lease components.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common shares outstanding for the period. Diluted net loss per share reflects the potential dilution that would occur if securities or other contracts to issue common stock were exercised or converted into common stock.</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Improvements to Reportable Segment Disclosures”,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adopted this ASU effective June 30, 2025 and has incorporated such enhanced disclosures in Note 21,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 Measurement of Credit Losses for Accounts Receivable and Contract Assets”, which will provide a practical expedient in developing reasonable and supportable forecasts as part of estimating expected credit losses: all entities may elect a practical expedient that assumes that current conditions as of the balance sheet date do not change for the remaining life of the asset. The amendments are effective for fiscal years beginning after December 15, 2025 and for interim periods within fiscal years beginning after December 15, 2025. The Company is currently evaluating the provisions of the amendments and the effect on its future consolidated financial statements.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amendments address investor requests for more detailed expense information and require additional disaggregated disclosures in the notes to financial statements for certain categories of expenses that are included on the face of the income statement. The amendments are effective for fiscal years beginning after December 15, 2026, and interim periods within fiscal years beginning after December 15, 2027, with early adoption permitted. The Company is currently evaluating the provisions of the amendments and the effect on its future consolidated financial statements.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will require entities to disclose more detailed information in the reconciliation of their statutory tax rate to their effective tax rate. The ASU also requires entities to disclose more detailed information about income taxes paid, including by jurisdiction, pretax income (loss) from continuing operations, and income tax expense (benefit). The amendments are effective for fiscal years beginning after December 15, 2024 and for interim periods within fiscal years beginning after December 15, 2025. The amendments should be applied on a prospective basis. Retrospective application is permitted. The Company is currently evaluating the provisions of the amendments and the effect on its future consolidated financial statements.</w:t>
      </w:r>
    </w:p>
    <w:p>
      <w:pPr>
        <w:spacing w:after="0" w:line="372" w:lineRule="exact"/>
        <w:rPr>
          <w:sz w:val="20"/>
          <w:szCs w:val="20"/>
          <w:color w:val="auto"/>
        </w:rPr>
      </w:pPr>
    </w:p>
    <w:p>
      <w:pPr>
        <w:ind w:left="380" w:hanging="372"/>
        <w:spacing w:after="0"/>
        <w:tabs>
          <w:tab w:leader="none" w:pos="3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on the consolidated statements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5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(116,537)</w:t>
            </w:r>
          </w:p>
        </w:tc>
      </w:tr>
      <w:tr>
        <w:trPr>
          <w:trHeight w:val="20"/>
        </w:trPr>
        <w:tc>
          <w:tcPr>
            <w:tcW w:w="5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1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90,127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89,750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89,396</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net loss in each of the twelve months ended June 30, 2025 and June 30, 2024, all common stock equivalents such as stock options, unvested restricted share units and performance share units have been excluded from the computation of diluted net loss per share. The effect of the stock options and unvested restricted share units would have been anti-dilutive to the computations. The performance share units were contingently issuable based on market conditions or performance goals and such conditions or goals had not been achieved during the year.</w:t>
      </w:r>
    </w:p>
    <w:p>
      <w:pPr>
        <w:spacing w:after="0" w:line="135"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HELD FOR SALE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third quarter of fiscal year 2025, the Company announced that it was exploring strategic alternatives regarding its personal care (“PC”) business to focus on its portfolio of better-for-you food and beverages. The Company determined that its PC business was held for sale and ascribed an aggregate $11,164 of goodwill from its U.S. and Canada reporting units to the PC business which are part of the North American reportable segment. The operating results of the business were not significant. The Company anticipates entering into a definitive agreement to sell these assets within 12 months from when it was initially</w:t>
      </w:r>
    </w:p>
    <w:p>
      <w:pPr>
        <w:sectPr>
          <w:pgSz w:w="11900" w:h="16838" w:orient="portrait"/>
          <w:cols w:equalWidth="0" w:num="1">
            <w:col w:w="11240"/>
          </w:cols>
          <w:pgMar w:left="320" w:top="117" w:right="339" w:bottom="1440" w:gutter="0" w:footer="0" w:header="0"/>
        </w:sect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as held for sale.</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2025, the Company recorded a non-cash charge of $26,843 to write down the carrying amount of the disposal group to its estimated fair value less cost to dispose, which was reflected within intangibles and long-lived asset impairment on the consolidated statements of operations. The following table presents the major classes of assets and liabilities of the personal care business classified as held for sale: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85"/>
        </w:trPr>
        <w:tc>
          <w:tcPr>
            <w:tcW w:w="366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10"/>
        </w:trPr>
        <w:tc>
          <w:tcPr>
            <w:tcW w:w="366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jc w:val="right"/>
              <w:ind w:right="45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76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5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7,121</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30,347</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918</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11,164</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5,704</w:t>
            </w:r>
          </w:p>
        </w:tc>
      </w:tr>
      <w:tr>
        <w:trPr>
          <w:trHeight w:val="216"/>
        </w:trPr>
        <w:tc>
          <w:tcPr>
            <w:tcW w:w="3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reduction of assets held for sale</w:t>
            </w:r>
          </w:p>
        </w:tc>
        <w:tc>
          <w:tcPr>
            <w:tcW w:w="5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w:t>
            </w:r>
          </w:p>
        </w:tc>
      </w:tr>
      <w:tr>
        <w:trPr>
          <w:trHeight w:val="210"/>
        </w:trPr>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5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29,603</w:t>
            </w:r>
          </w:p>
        </w:tc>
      </w:tr>
      <w:tr>
        <w:trPr>
          <w:trHeight w:val="20"/>
        </w:trPr>
        <w:tc>
          <w:tcPr>
            <w:tcW w:w="36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3660" w:type="dxa"/>
            <w:vAlign w:val="bottom"/>
            <w:shd w:val="clear" w:color="auto" w:fill="CCEEFF"/>
          </w:tcPr>
          <w:p>
            <w:pPr>
              <w:spacing w:after="0"/>
              <w:rPr>
                <w:sz w:val="17"/>
                <w:szCs w:val="17"/>
                <w:color w:val="auto"/>
              </w:rPr>
            </w:pPr>
          </w:p>
        </w:tc>
        <w:tc>
          <w:tcPr>
            <w:tcW w:w="5820" w:type="dxa"/>
            <w:vAlign w:val="bottom"/>
            <w:gridSpan w:val="2"/>
            <w:shd w:val="clear" w:color="auto" w:fill="CCEEFF"/>
          </w:tcPr>
          <w:p>
            <w:pPr>
              <w:jc w:val="right"/>
              <w:ind w:right="431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760" w:type="dxa"/>
            <w:vAlign w:val="bottom"/>
            <w:shd w:val="clear" w:color="auto" w:fill="CCEEFF"/>
          </w:tcPr>
          <w:p>
            <w:pPr>
              <w:spacing w:after="0"/>
              <w:rPr>
                <w:sz w:val="17"/>
                <w:szCs w:val="17"/>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5,432</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5,793</w:t>
            </w:r>
          </w:p>
        </w:tc>
      </w:tr>
      <w:tr>
        <w:trPr>
          <w:trHeight w:val="216"/>
        </w:trPr>
        <w:tc>
          <w:tcPr>
            <w:tcW w:w="3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1,762</w:t>
            </w: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held for sale</w:t>
            </w:r>
          </w:p>
        </w:tc>
        <w:tc>
          <w:tcPr>
            <w:tcW w:w="55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12,987</w:t>
            </w:r>
          </w:p>
        </w:tc>
      </w:tr>
    </w:tbl>
    <w:p>
      <w:pPr>
        <w:spacing w:after="0" w:line="38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DISPOSITIONS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ParmCrisps</w:t>
      </w:r>
      <w:r>
        <w:rPr>
          <w:rFonts w:ascii="Times New Roman" w:cs="Times New Roman" w:eastAsia="Times New Roman" w:hAnsi="Times New Roman"/>
          <w:sz w:val="24"/>
          <w:szCs w:val="24"/>
          <w:color w:val="auto"/>
          <w:vertAlign w:val="superscript"/>
        </w:rPr>
        <w:t>®</w:t>
      </w:r>
    </w:p>
    <w:p>
      <w:pPr>
        <w:spacing w:after="0" w:line="129"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August 30, 2024, the Company completed the sale of its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for total cash consideration of $12,000, subject to customary post-closing adjustments. The divestiture is consistent with the Company’s portfolio simplification process.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part of the Company’s North America reportable segment. During fiscal 2025, the Company deconsolidated the net assets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consisting of $7,280, $6,725, and $1,282 of goodwill, inventory, and machinery and equipment, respectively, and recognized a pretax loss on sale of $3,863 recorded in other expense (income), net.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Queen Helene</w:t>
      </w:r>
      <w:r>
        <w:rPr>
          <w:rFonts w:ascii="Times New Roman" w:cs="Times New Roman" w:eastAsia="Times New Roman" w:hAnsi="Times New Roman"/>
          <w:sz w:val="24"/>
          <w:szCs w:val="24"/>
          <w:color w:val="auto"/>
          <w:vertAlign w:val="superscript"/>
        </w:rPr>
        <w:t>®</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June 3, 2024, the Company completed the divestiture of its Queen Helene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(“QH”) for total cash consideration of $750. The sale of QH is consistent with the Company’s portfolio simplification process. QH was part of the Company’s North America reportable segment. During the fiscal year ended June 30, 2024, the Company deconsolidated the net assets of QH, primarily consisting of $1,672 and $535 of inventory and goodwill, respectively, and recognized a pretax loss on sale of $1,466.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Thinsters</w:t>
      </w:r>
      <w:r>
        <w:rPr>
          <w:rFonts w:ascii="Times New Roman" w:cs="Times New Roman" w:eastAsia="Times New Roman" w:hAnsi="Times New Roman"/>
          <w:sz w:val="24"/>
          <w:szCs w:val="24"/>
          <w:color w:val="auto"/>
          <w:vertAlign w:val="superscript"/>
        </w:rPr>
        <w:t>®</w:t>
      </w:r>
    </w:p>
    <w:p>
      <w:pPr>
        <w:spacing w:after="0" w:line="143"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On April 8, 2024, the Company completed the sale of its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cookie business for total cash consideration of $7,700, subject to customary post-closing adjustments. The final purchase price was $7,264. The divestiture is consistent with the Company’s portfolio simplification process.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was part of the Company’s North America reportable segment. During the fiscal year ended June 30, 2024, the Company deconsolidated the net assets of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consisting of $5,732, $1,977, and $1,180 of goodwill, intangible assets, and inventory, respectively, and recognized a pretax loss on sale of $2,856.</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Westbrae Natural</w:t>
      </w:r>
      <w:r>
        <w:rPr>
          <w:rFonts w:ascii="Times New Roman" w:cs="Times New Roman" w:eastAsia="Times New Roman" w:hAnsi="Times New Roman"/>
          <w:sz w:val="24"/>
          <w:szCs w:val="24"/>
          <w:color w:val="auto"/>
          <w:vertAlign w:val="superscript"/>
        </w:rPr>
        <w:t>®</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December 15, 2022, the Company completed the divestiture of its Westbrae Natural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(“Westbrae”) for total cash consideration of $7,498. The sale of Westbrae is consistent with the Company’s portfolio simplification process. Westbrae operated in the United States (“U.S.”) and was part of the Company’s North America reportable segment. During the fiscal year ended June 30, 2023, the Company deconsolidated the net assets of Westbrae, primarily consisting of $3,054 of goodwill, and recognized a pretax gain on sale of $3,488.</w:t>
      </w:r>
    </w:p>
    <w:p>
      <w:pPr>
        <w:sectPr>
          <w:pgSz w:w="11900" w:h="16838" w:orient="portrait"/>
          <w:cols w:equalWidth="0" w:num="1">
            <w:col w:w="11240"/>
          </w:cols>
          <w:pgMar w:left="320" w:top="117"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6.</w:t>
        <w:tab/>
        <w:t>INVENTORIES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177,990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178,150</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 work-in-progress and packaging</w:t>
            </w: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70,741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95,978</w:t>
            </w:r>
          </w:p>
        </w:tc>
      </w:tr>
      <w:tr>
        <w:trPr>
          <w:trHeight w:val="250"/>
        </w:trPr>
        <w:tc>
          <w:tcPr>
            <w:tcW w:w="77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248,731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274,128</w:t>
            </w:r>
          </w:p>
        </w:tc>
      </w:tr>
      <w:tr>
        <w:trPr>
          <w:trHeight w:val="602"/>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391"/>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5"/>
        </w:trPr>
        <w:tc>
          <w:tcPr>
            <w:tcW w:w="7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77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11,926</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11,381</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61,788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57,030</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347,867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325,174</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56,466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54,139</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22,599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20,943</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38,680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39,255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12,692</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12,783</w:t>
            </w:r>
          </w:p>
        </w:tc>
      </w:tr>
      <w:tr>
        <w:trPr>
          <w:trHeight w:val="210"/>
        </w:trPr>
        <w:tc>
          <w:tcPr>
            <w:tcW w:w="7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552,018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520,705</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287,288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258,975</w:t>
            </w:r>
          </w:p>
        </w:tc>
      </w:tr>
      <w:tr>
        <w:trPr>
          <w:trHeight w:val="210"/>
        </w:trPr>
        <w:tc>
          <w:tcPr>
            <w:tcW w:w="77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264,730</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261,730</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-2425065</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-2407920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-454025</wp:posOffset>
            </wp:positionV>
            <wp:extent cx="111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fiscal years ended June 30, 2025, 2024 and 2023 was $32,494, $34,332 and $35,893, respectively.</w:t>
      </w:r>
    </w:p>
    <w:p>
      <w:pPr>
        <w:spacing w:after="0" w:line="185"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During the fiscal year ended June 30, 2025, as a result of the continued decline in actual and projected performance and cash flows related to certain PC,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production facilities, the Company completed interim impairment tests of the respective asset groups. The Company determined that the estimated fair values of the Linda McCartney’s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(under license) meat free asset group and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 exceeded their respective carrying amounts. However, the carrying amount of the PC asset group exceeded its estimated fair value. The Company recognized a non-cash impairment charge of $2,654 to reduce the carrying value of certain PC production assets in the North America reportable segment to their estimated fair value. Impairment charges were recorded within intangibles and long-lived asset impairment on the consolidated statement of operations.</w:t>
      </w:r>
    </w:p>
    <w:p>
      <w:pPr>
        <w:spacing w:after="0" w:line="17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During the fiscal year ended June 30, 2024, the Company recognized aggregated non-cash impairment charges of $26,541. This included a non-cash impairment charge of $5,875 to reduce the carrying amount of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machinery and equipment to its estimated fair value and a non-cash impairment charge of $20,666 related to the former Bell, CA production facility, reflecting asset reductions in connection with the facility’s closure. These charges were recorded within intangibles and long-lived asset impairment on the consolidated statements of operations. In fiscal 2025, the Company recognized a $1,600 pretax gain on the sale of such long-lived assets, which was included as a component of other expense (income), net on the consolidated statement of operations.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2024, the Company completed the sale of a facility in the North America reportable segment for total cash proceeds of $1,182, net of brokerage and other fees, resulting in a loss of $68, which was included as a component of other expense (income), net on the consolidated statement of operations.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fiscal year ended June 30, 2024, the Company recognized a non-cash impairment charge of $2,763, related to write-down of projects machinery and equipment in the International reportable segment related to the multi-year growth, transformation and restructuring program (the “Restructuring Program”). See Note 19, </w:t>
      </w:r>
      <w:r>
        <w:rPr>
          <w:rFonts w:ascii="Times New Roman" w:cs="Times New Roman" w:eastAsia="Times New Roman" w:hAnsi="Times New Roman"/>
          <w:sz w:val="18"/>
          <w:szCs w:val="18"/>
          <w:i w:val="1"/>
          <w:iCs w:val="1"/>
          <w:color w:val="auto"/>
        </w:rPr>
        <w:t>Transformation Program.</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leases office space, warehouse and distribution facilities, manufacturing equipment and vehicles primarily in North America and Western Europe. The Company determines if an arrangement is or contains a lease at inception. Right of use assets related to finance leases are included in property, plant and equipment, net on the consolidated balance sheets. Lease liabilities for finance leases are included in the current and non-current portions of long-term debt on the consolidated balance sheets. The current portion of the operating lease liabilities is included in accrued expenses and other current liabilities on the consolidated balance sheets. The Company does not have any related party leases, and sublease transactions are de minimis.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expenses for the fiscal years ended June 30, 2025, 2024 and 2023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expenses</w:t>
            </w:r>
          </w:p>
        </w:tc>
        <w:tc>
          <w:tcPr>
            <w:tcW w:w="3640" w:type="dxa"/>
            <w:vAlign w:val="bottom"/>
            <w:gridSpan w:val="3"/>
            <w:shd w:val="clear" w:color="auto" w:fill="CFF0FC"/>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14,019</w:t>
            </w:r>
          </w:p>
        </w:tc>
        <w:tc>
          <w:tcPr>
            <w:tcW w:w="80" w:type="dxa"/>
            <w:vAlign w:val="bottom"/>
            <w:shd w:val="clear" w:color="auto" w:fill="CFF0FC"/>
          </w:tcPr>
          <w:p>
            <w:pPr>
              <w:spacing w:after="0"/>
              <w:rPr>
                <w:sz w:val="18"/>
                <w:szCs w:val="18"/>
                <w:color w:val="auto"/>
              </w:rPr>
            </w:pPr>
          </w:p>
        </w:tc>
        <w:tc>
          <w:tcPr>
            <w:tcW w:w="4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17,446</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18,173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expenses</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723</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expenses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2,003</w:t>
            </w:r>
          </w:p>
        </w:tc>
      </w:tr>
      <w:tr>
        <w:trPr>
          <w:trHeight w:val="250"/>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lease expenses</w:t>
            </w:r>
          </w:p>
        </w:tc>
        <w:tc>
          <w:tcPr>
            <w:tcW w:w="3640" w:type="dxa"/>
            <w:vAlign w:val="bottom"/>
            <w:gridSpan w:val="3"/>
            <w:shd w:val="clear" w:color="auto" w:fill="CFF0FC"/>
          </w:tcPr>
          <w:p>
            <w:pPr>
              <w:ind w:left="28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16,146</w:t>
            </w:r>
          </w:p>
        </w:tc>
        <w:tc>
          <w:tcPr>
            <w:tcW w:w="8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19,881</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21,143</w:t>
            </w:r>
          </w:p>
        </w:tc>
      </w:tr>
      <w:tr>
        <w:trPr>
          <w:trHeight w:val="413"/>
        </w:trPr>
        <w:tc>
          <w:tcPr>
            <w:tcW w:w="664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is as follows:</w:t>
            </w:r>
          </w:p>
        </w:tc>
        <w:tc>
          <w:tcPr>
            <w:tcW w:w="8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36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24"/>
                <w:szCs w:val="24"/>
                <w:color w:val="auto"/>
              </w:rPr>
            </w:pPr>
          </w:p>
        </w:tc>
        <w:tc>
          <w:tcPr>
            <w:tcW w:w="3520" w:type="dxa"/>
            <w:vAlign w:val="bottom"/>
            <w:tcBorders>
              <w:bottom w:val="single" w:sz="8" w:color="auto"/>
            </w:tcBorders>
            <w:gridSpan w:val="2"/>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3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76,875</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86,634</w:t>
            </w:r>
          </w:p>
        </w:tc>
      </w:tr>
      <w:tr>
        <w:trPr>
          <w:trHeight w:val="216"/>
        </w:trPr>
        <w:tc>
          <w:tcPr>
            <w:tcW w:w="38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Finance lease ROU assets, net</w:t>
            </w:r>
          </w:p>
        </w:tc>
        <w:tc>
          <w:tcPr>
            <w:tcW w:w="3640" w:type="dxa"/>
            <w:vAlign w:val="bottom"/>
            <w:tcBorders>
              <w:bottom w:val="single" w:sz="8" w:color="CFF0FC"/>
            </w:tcBorders>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w:t>
            </w:r>
          </w:p>
        </w:tc>
      </w:tr>
      <w:tr>
        <w:trPr>
          <w:trHeight w:val="210"/>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Total leased assets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77,463</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86,840</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7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FF0FC"/>
          </w:tcPr>
          <w:p>
            <w:pPr>
              <w:spacing w:after="0"/>
              <w:rPr>
                <w:sz w:val="18"/>
                <w:szCs w:val="18"/>
                <w:color w:val="auto"/>
              </w:rPr>
            </w:pPr>
          </w:p>
        </w:tc>
        <w:tc>
          <w:tcPr>
            <w:tcW w:w="27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14,908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10,759</w:t>
            </w: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36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38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Operating</w:t>
            </w:r>
          </w:p>
        </w:tc>
        <w:tc>
          <w:tcPr>
            <w:tcW w:w="364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65,284</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80,863</w:t>
            </w:r>
          </w:p>
        </w:tc>
      </w:tr>
      <w:tr>
        <w:trPr>
          <w:trHeight w:val="216"/>
        </w:trPr>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Finance</w:t>
            </w:r>
          </w:p>
        </w:tc>
        <w:tc>
          <w:tcPr>
            <w:tcW w:w="36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462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137</w:t>
            </w:r>
          </w:p>
        </w:tc>
      </w:tr>
      <w:tr>
        <w:trPr>
          <w:trHeight w:val="230"/>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shd w:val="clear" w:color="auto" w:fill="CFF0FC"/>
          </w:tcPr>
          <w:p>
            <w:pPr>
              <w:spacing w:after="0"/>
              <w:rPr>
                <w:sz w:val="19"/>
                <w:szCs w:val="19"/>
                <w:color w:val="auto"/>
              </w:rPr>
            </w:pPr>
          </w:p>
        </w:tc>
        <w:tc>
          <w:tcPr>
            <w:tcW w:w="27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80,807</w:t>
            </w: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91,844</w:t>
            </w: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-2493645</wp:posOffset>
            </wp:positionV>
            <wp:extent cx="1028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-2476500</wp:posOffset>
            </wp:positionV>
            <wp:extent cx="1028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-2493645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-2476500</wp:posOffset>
            </wp:positionV>
            <wp:extent cx="93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-1439545</wp:posOffset>
            </wp:positionV>
            <wp:extent cx="939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93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93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8" w:lineRule="exact"/>
        <w:rPr>
          <w:sz w:val="20"/>
          <w:szCs w:val="20"/>
          <w:color w:val="auto"/>
        </w:rPr>
      </w:pPr>
    </w:p>
    <w:p>
      <w:pPr>
        <w:ind w:firstLine="8"/>
        <w:spacing w:after="0" w:line="284" w:lineRule="auto"/>
        <w:tabs>
          <w:tab w:leader="none" w:pos="143"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leases related to personal care business that was reclassified as assets held for sale. See Note 4, Assets and Liabilities Held for Sale,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42"/>
        </w:trPr>
        <w:tc>
          <w:tcPr>
            <w:tcW w:w="5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15,007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16,529</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16,446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161</w:t>
            </w:r>
          </w:p>
        </w:tc>
      </w:tr>
      <w:tr>
        <w:trPr>
          <w:trHeight w:val="164"/>
        </w:trPr>
        <w:tc>
          <w:tcPr>
            <w:tcW w:w="5980" w:type="dxa"/>
            <w:vAlign w:val="bottom"/>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ROU assets obtained in exchange for lease obligations:</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68"/>
        </w:trPr>
        <w:tc>
          <w:tcPr>
            <w:tcW w:w="5980" w:type="dxa"/>
            <w:vAlign w:val="bottom"/>
          </w:tcPr>
          <w:p>
            <w:pPr>
              <w:spacing w:after="0" w:line="267"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4"/>
                <w:szCs w:val="24"/>
                <w:color w:val="auto"/>
                <w:vertAlign w:val="superscript"/>
              </w:rPr>
              <w:t>(1)(2)(3)</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(2,954)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4,243</w:t>
            </w:r>
          </w:p>
        </w:tc>
        <w:tc>
          <w:tcPr>
            <w:tcW w:w="80" w:type="dxa"/>
            <w:vAlign w:val="bottom"/>
          </w:tcPr>
          <w:p>
            <w:pPr>
              <w:spacing w:after="0"/>
              <w:rPr>
                <w:sz w:val="23"/>
                <w:szCs w:val="23"/>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514</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8.2 years</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8.8 years</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10.4 years</w:t>
            </w: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3"/>
              <w:spacing w:after="0"/>
              <w:rPr>
                <w:sz w:val="20"/>
                <w:szCs w:val="20"/>
                <w:color w:val="auto"/>
              </w:rPr>
            </w:pPr>
            <w:r>
              <w:rPr>
                <w:rFonts w:ascii="Times New Roman" w:cs="Times New Roman" w:eastAsia="Times New Roman" w:hAnsi="Times New Roman"/>
                <w:sz w:val="18"/>
                <w:szCs w:val="18"/>
                <w:color w:val="auto"/>
              </w:rPr>
              <w:t>4.0 years</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3.0 years</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5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13232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firstLine="8"/>
        <w:spacing w:after="0" w:line="309" w:lineRule="auto"/>
        <w:tabs>
          <w:tab w:leader="none" w:pos="170" w:val="left"/>
        </w:tabs>
        <w:numPr>
          <w:ilvl w:val="0"/>
          <w:numId w:val="2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Includes adjustment for termination of two operating leases during fiscal year ended June 30, 2025, which resulted in a reduction of ROU assets and lease liabilities of $5,346 and $4,037, respectively, and recognition of an accumulated gain of $1,309 related to lease terminations.</w:t>
      </w:r>
    </w:p>
    <w:p>
      <w:pPr>
        <w:spacing w:after="0" w:line="143" w:lineRule="exact"/>
        <w:rPr>
          <w:rFonts w:ascii="Times New Roman" w:cs="Times New Roman" w:eastAsia="Times New Roman" w:hAnsi="Times New Roman"/>
          <w:sz w:val="20"/>
          <w:szCs w:val="20"/>
          <w:i w:val="1"/>
          <w:iCs w:val="1"/>
          <w:color w:val="auto"/>
          <w:vertAlign w:val="superscript"/>
        </w:rPr>
      </w:pPr>
    </w:p>
    <w:p>
      <w:pPr>
        <w:ind w:firstLine="8"/>
        <w:spacing w:after="0" w:line="309" w:lineRule="auto"/>
        <w:tabs>
          <w:tab w:leader="none" w:pos="170" w:val="left"/>
        </w:tabs>
        <w:numPr>
          <w:ilvl w:val="0"/>
          <w:numId w:val="20"/>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Includes adjustment for remeasurement of an operating lease during fiscal year ended June 30, 2024, which resulted in a net reduction of an ROU asset and a corresponding reduction in lease liability of $9,375.</w:t>
      </w:r>
    </w:p>
    <w:p>
      <w:pPr>
        <w:spacing w:after="0" w:line="143" w:lineRule="exact"/>
        <w:rPr>
          <w:rFonts w:ascii="Times New Roman" w:cs="Times New Roman" w:eastAsia="Times New Roman" w:hAnsi="Times New Roman"/>
          <w:sz w:val="20"/>
          <w:szCs w:val="20"/>
          <w:i w:val="1"/>
          <w:iCs w:val="1"/>
          <w:color w:val="auto"/>
          <w:vertAlign w:val="superscript"/>
        </w:rPr>
      </w:pPr>
    </w:p>
    <w:p>
      <w:pPr>
        <w:ind w:firstLine="8"/>
        <w:spacing w:after="0" w:line="244" w:lineRule="auto"/>
        <w:tabs>
          <w:tab w:leader="none" w:pos="184" w:val="left"/>
        </w:tabs>
        <w:numPr>
          <w:ilvl w:val="0"/>
          <w:numId w:val="20"/>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Includes adjustment for modification of an operating lease for the fiscal year ended June 30, 2023, which resulted in a reduction of ROU assets and lease liabilities of $13,876 and $17,244, respectively, and recognition of a gain of $3,368 related to the modification.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as of June 30, 2025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3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13,975</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177</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14,152</w:t>
            </w:r>
          </w:p>
        </w:tc>
      </w:tr>
      <w:tr>
        <w:trPr>
          <w:trHeight w:val="216"/>
        </w:trPr>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13,754</w:t>
            </w:r>
          </w:p>
        </w:tc>
      </w:tr>
      <w:tr>
        <w:trPr>
          <w:trHeight w:val="216"/>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2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12,516</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12,652</w:t>
            </w:r>
          </w:p>
        </w:tc>
      </w:tr>
      <w:tr>
        <w:trPr>
          <w:trHeight w:val="216"/>
        </w:trPr>
        <w:tc>
          <w:tcPr>
            <w:tcW w:w="35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11,806</w:t>
            </w:r>
          </w:p>
        </w:tc>
      </w:tr>
      <w:tr>
        <w:trPr>
          <w:trHeight w:val="216"/>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2030</w:t>
            </w:r>
          </w:p>
        </w:tc>
        <w:tc>
          <w:tcPr>
            <w:tcW w:w="2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10,420</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10,538</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35,579</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35,579</w:t>
            </w:r>
          </w:p>
        </w:tc>
      </w:tr>
      <w:tr>
        <w:trPr>
          <w:trHeight w:val="209"/>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2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97,777</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98,481</w:t>
            </w: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17,585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17,674</w:t>
            </w:r>
          </w:p>
        </w:tc>
      </w:tr>
      <w:tr>
        <w:trPr>
          <w:trHeight w:val="250"/>
        </w:trPr>
        <w:tc>
          <w:tcPr>
            <w:tcW w:w="35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lease liabilities</w:t>
            </w:r>
          </w:p>
        </w:tc>
        <w:tc>
          <w:tcPr>
            <w:tcW w:w="31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80,192</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615</w:t>
            </w:r>
          </w:p>
        </w:tc>
        <w:tc>
          <w:tcPr>
            <w:tcW w:w="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80,807</w:t>
            </w:r>
          </w:p>
        </w:tc>
      </w:tr>
      <w:tr>
        <w:trPr>
          <w:trHeight w:val="709"/>
        </w:trPr>
        <w:tc>
          <w:tcPr>
            <w:tcW w:w="3580" w:type="dxa"/>
            <w:vAlign w:val="bottom"/>
            <w:tcBorders>
              <w:top w:val="single" w:sz="8" w:color="CFF0FC"/>
            </w:tcBorders>
          </w:tcPr>
          <w:p>
            <w:pPr>
              <w:spacing w:after="0"/>
              <w:rPr>
                <w:sz w:val="24"/>
                <w:szCs w:val="24"/>
                <w:color w:val="auto"/>
              </w:rPr>
            </w:pPr>
          </w:p>
        </w:tc>
        <w:tc>
          <w:tcPr>
            <w:tcW w:w="2900" w:type="dxa"/>
            <w:vAlign w:val="bottom"/>
            <w:tcBorders>
              <w:top w:val="single" w:sz="8" w:color="CFF0FC"/>
            </w:tcBorders>
          </w:tcPr>
          <w:p>
            <w:pPr>
              <w:jc w:val="right"/>
              <w:ind w:right="670"/>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372"/>
        </w:trPr>
        <w:tc>
          <w:tcPr>
            <w:tcW w:w="35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-736600</wp:posOffset>
            </wp:positionV>
            <wp:extent cx="1028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-719455</wp:posOffset>
            </wp:positionV>
            <wp:extent cx="1028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-736600</wp:posOffset>
            </wp:positionV>
            <wp:extent cx="939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-719455</wp:posOffset>
            </wp:positionV>
            <wp:extent cx="93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changes in the carrying value of goodwill by reportable segment: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Balance as of June 30, 2023</w:t>
            </w:r>
            <w:r>
              <w:rPr>
                <w:rFonts w:ascii="Times New Roman" w:cs="Times New Roman" w:eastAsia="Times New Roman" w:hAnsi="Times New Roman"/>
                <w:sz w:val="24"/>
                <w:szCs w:val="24"/>
                <w:color w:val="auto"/>
                <w:vertAlign w:val="superscript"/>
              </w:rPr>
              <w:t>(1)</w:t>
            </w:r>
          </w:p>
        </w:tc>
        <w:tc>
          <w:tcPr>
            <w:tcW w:w="1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000" w:type="dxa"/>
            <w:vAlign w:val="bottom"/>
            <w:vMerge w:val="continue"/>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697,053</w:t>
            </w:r>
          </w:p>
        </w:tc>
        <w:tc>
          <w:tcPr>
            <w:tcW w:w="160" w:type="dxa"/>
            <w:vAlign w:val="bottom"/>
          </w:tcPr>
          <w:p>
            <w:pPr>
              <w:spacing w:after="0"/>
              <w:rPr>
                <w:sz w:val="13"/>
                <w:szCs w:val="13"/>
                <w:color w:val="auto"/>
              </w:rPr>
            </w:pPr>
          </w:p>
        </w:tc>
        <w:tc>
          <w:tcPr>
            <w:tcW w:w="160" w:type="dxa"/>
            <w:vAlign w:val="bottom"/>
          </w:tcPr>
          <w:p>
            <w:pPr>
              <w:jc w:val="right"/>
              <w:spacing w:after="0" w:line="158"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241,587</w:t>
            </w:r>
          </w:p>
        </w:tc>
        <w:tc>
          <w:tcPr>
            <w:tcW w:w="140" w:type="dxa"/>
            <w:vAlign w:val="bottom"/>
          </w:tcPr>
          <w:p>
            <w:pPr>
              <w:spacing w:after="0"/>
              <w:rPr>
                <w:sz w:val="13"/>
                <w:szCs w:val="13"/>
                <w:color w:val="auto"/>
              </w:rPr>
            </w:pPr>
          </w:p>
        </w:tc>
        <w:tc>
          <w:tcPr>
            <w:tcW w:w="280" w:type="dxa"/>
            <w:vAlign w:val="bottom"/>
          </w:tcPr>
          <w:p>
            <w:pPr>
              <w:jc w:val="right"/>
              <w:ind w:right="90"/>
              <w:spacing w:after="0" w:line="157"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938,640</w:t>
            </w:r>
          </w:p>
        </w:tc>
        <w:tc>
          <w:tcPr>
            <w:tcW w:w="0" w:type="dxa"/>
            <w:vAlign w:val="bottom"/>
          </w:tcPr>
          <w:p>
            <w:pPr>
              <w:spacing w:after="0"/>
              <w:rPr>
                <w:sz w:val="1"/>
                <w:szCs w:val="1"/>
                <w:color w:val="auto"/>
              </w:rPr>
            </w:pPr>
          </w:p>
        </w:tc>
      </w:tr>
      <w:tr>
        <w:trPr>
          <w:trHeight w:val="268"/>
        </w:trPr>
        <w:tc>
          <w:tcPr>
            <w:tcW w:w="500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Divestiture</w:t>
            </w:r>
            <w:r>
              <w:rPr>
                <w:rFonts w:ascii="Times New Roman" w:cs="Times New Roman" w:eastAsia="Times New Roman" w:hAnsi="Times New Roman"/>
                <w:sz w:val="24"/>
                <w:szCs w:val="24"/>
                <w:color w:val="auto"/>
                <w:vertAlign w:val="superscript"/>
              </w:rPr>
              <w:t>(2)</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16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158"/>
        </w:trPr>
        <w:tc>
          <w:tcPr>
            <w:tcW w:w="5000" w:type="dxa"/>
            <w:vAlign w:val="bottom"/>
          </w:tcPr>
          <w:p>
            <w:pPr>
              <w:spacing w:after="0" w:line="157" w:lineRule="exact"/>
              <w:rPr>
                <w:sz w:val="20"/>
                <w:szCs w:val="20"/>
                <w:color w:val="auto"/>
              </w:rPr>
            </w:pPr>
            <w:r>
              <w:rPr>
                <w:rFonts w:ascii="Times New Roman" w:cs="Times New Roman" w:eastAsia="Times New Roman" w:hAnsi="Times New Roman"/>
                <w:sz w:val="18"/>
                <w:szCs w:val="18"/>
                <w:color w:val="auto"/>
              </w:rPr>
              <w:t>Balance as of June 30, 2024</w:t>
            </w: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52"/>
              <w:spacing w:after="0" w:line="157" w:lineRule="exact"/>
              <w:rPr>
                <w:sz w:val="20"/>
                <w:szCs w:val="20"/>
                <w:color w:val="auto"/>
              </w:rPr>
            </w:pPr>
            <w:r>
              <w:rPr>
                <w:rFonts w:ascii="Times New Roman" w:cs="Times New Roman" w:eastAsia="Times New Roman" w:hAnsi="Times New Roman"/>
                <w:sz w:val="18"/>
                <w:szCs w:val="18"/>
                <w:color w:val="auto"/>
              </w:rPr>
              <w:t>689,468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239,836</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2"/>
              <w:spacing w:after="0" w:line="157" w:lineRule="exact"/>
              <w:rPr>
                <w:sz w:val="20"/>
                <w:szCs w:val="20"/>
                <w:color w:val="auto"/>
              </w:rPr>
            </w:pPr>
            <w:r>
              <w:rPr>
                <w:rFonts w:ascii="Times New Roman" w:cs="Times New Roman" w:eastAsia="Times New Roman" w:hAnsi="Times New Roman"/>
                <w:sz w:val="18"/>
                <w:szCs w:val="18"/>
                <w:color w:val="auto"/>
              </w:rPr>
              <w:t>929,304</w:t>
            </w:r>
          </w:p>
        </w:tc>
        <w:tc>
          <w:tcPr>
            <w:tcW w:w="0" w:type="dxa"/>
            <w:vAlign w:val="bottom"/>
          </w:tcPr>
          <w:p>
            <w:pPr>
              <w:spacing w:after="0"/>
              <w:rPr>
                <w:sz w:val="1"/>
                <w:szCs w:val="1"/>
                <w:color w:val="auto"/>
              </w:rPr>
            </w:pPr>
          </w:p>
        </w:tc>
      </w:tr>
      <w:tr>
        <w:trPr>
          <w:trHeight w:val="268"/>
        </w:trPr>
        <w:tc>
          <w:tcPr>
            <w:tcW w:w="500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Divestiture</w:t>
            </w:r>
            <w:r>
              <w:rPr>
                <w:rFonts w:ascii="Times New Roman" w:cs="Times New Roman" w:eastAsia="Times New Roman" w:hAnsi="Times New Roman"/>
                <w:sz w:val="24"/>
                <w:szCs w:val="24"/>
                <w:color w:val="auto"/>
                <w:vertAlign w:val="superscript"/>
              </w:rPr>
              <w:t>(3)</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164"/>
        </w:trPr>
        <w:tc>
          <w:tcPr>
            <w:tcW w:w="5000" w:type="dxa"/>
            <w:vAlign w:val="bottom"/>
          </w:tcPr>
          <w:p>
            <w:pPr>
              <w:ind w:left="60"/>
              <w:spacing w:after="0" w:line="164" w:lineRule="exact"/>
              <w:rPr>
                <w:sz w:val="20"/>
                <w:szCs w:val="20"/>
                <w:color w:val="auto"/>
              </w:rPr>
            </w:pPr>
            <w:r>
              <w:rPr>
                <w:rFonts w:ascii="Times New Roman" w:cs="Times New Roman" w:eastAsia="Times New Roman" w:hAnsi="Times New Roman"/>
                <w:sz w:val="18"/>
                <w:szCs w:val="18"/>
                <w:color w:val="auto"/>
              </w:rPr>
              <w:t>Impairment charges</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(357,679)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(71,203)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(428,882)</w:t>
            </w:r>
          </w:p>
        </w:tc>
        <w:tc>
          <w:tcPr>
            <w:tcW w:w="0" w:type="dxa"/>
            <w:vAlign w:val="bottom"/>
          </w:tcPr>
          <w:p>
            <w:pPr>
              <w:spacing w:after="0"/>
              <w:rPr>
                <w:sz w:val="1"/>
                <w:szCs w:val="1"/>
                <w:color w:val="auto"/>
              </w:rPr>
            </w:pPr>
          </w:p>
        </w:tc>
      </w:tr>
      <w:tr>
        <w:trPr>
          <w:trHeight w:val="268"/>
        </w:trPr>
        <w:tc>
          <w:tcPr>
            <w:tcW w:w="5000" w:type="dxa"/>
            <w:vAlign w:val="bottom"/>
          </w:tcPr>
          <w:p>
            <w:pPr>
              <w:ind w:left="60"/>
              <w:spacing w:after="0" w:line="267" w:lineRule="exact"/>
              <w:rPr>
                <w:sz w:val="20"/>
                <w:szCs w:val="20"/>
                <w:color w:val="auto"/>
              </w:rPr>
            </w:pPr>
            <w:r>
              <w:rPr>
                <w:rFonts w:ascii="Times New Roman" w:cs="Times New Roman" w:eastAsia="Times New Roman" w:hAnsi="Times New Roman"/>
                <w:sz w:val="18"/>
                <w:szCs w:val="18"/>
                <w:color w:val="auto"/>
              </w:rPr>
              <w:t>Reclassification of goodwill to held for sale</w:t>
            </w:r>
            <w:r>
              <w:rPr>
                <w:rFonts w:ascii="Times New Roman" w:cs="Times New Roman" w:eastAsia="Times New Roman" w:hAnsi="Times New Roman"/>
                <w:sz w:val="24"/>
                <w:szCs w:val="24"/>
                <w:color w:val="auto"/>
                <w:vertAlign w:val="superscript"/>
              </w:rPr>
              <w:t>(4)</w:t>
            </w:r>
          </w:p>
        </w:tc>
        <w:tc>
          <w:tcPr>
            <w:tcW w:w="1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0" w:type="dxa"/>
            <w:vAlign w:val="bottom"/>
          </w:tcPr>
          <w:p>
            <w:pPr>
              <w:spacing w:after="0"/>
              <w:rPr>
                <w:sz w:val="1"/>
                <w:szCs w:val="1"/>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Translation</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20,007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18,983</w:t>
            </w: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312,321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188,640</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500,961</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-1276350</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-864870</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-864870</wp:posOffset>
            </wp:positionV>
            <wp:extent cx="939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84" w:lineRule="exact"/>
        <w:rPr>
          <w:sz w:val="20"/>
          <w:szCs w:val="20"/>
          <w:color w:val="auto"/>
        </w:rPr>
      </w:pPr>
    </w:p>
    <w:p>
      <w:pPr>
        <w:ind w:left="760" w:hanging="752"/>
        <w:spacing w:after="0" w:line="224" w:lineRule="auto"/>
        <w:tabs>
          <w:tab w:leader="none" w:pos="760" w:val="left"/>
        </w:tabs>
        <w:numPr>
          <w:ilvl w:val="0"/>
          <w:numId w:val="2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total carrying value of goodwill as of June 30, 2023 is reflected net of $134,277 of accumulated impairment charges, of which $7,700 is related to the North America reportable segment and $126,577 is related to the International reportable segment.</w:t>
      </w:r>
    </w:p>
    <w:p>
      <w:pPr>
        <w:spacing w:after="0" w:line="96" w:lineRule="exact"/>
        <w:rPr>
          <w:rFonts w:ascii="Times New Roman" w:cs="Times New Roman" w:eastAsia="Times New Roman" w:hAnsi="Times New Roman"/>
          <w:sz w:val="24"/>
          <w:szCs w:val="24"/>
          <w:i w:val="1"/>
          <w:iCs w:val="1"/>
          <w:color w:val="auto"/>
          <w:vertAlign w:val="superscript"/>
        </w:rPr>
      </w:pPr>
    </w:p>
    <w:p>
      <w:pPr>
        <w:jc w:val="both"/>
        <w:ind w:left="760" w:hanging="752"/>
        <w:spacing w:after="0" w:line="217" w:lineRule="auto"/>
        <w:tabs>
          <w:tab w:leader="none" w:pos="760" w:val="left"/>
        </w:tabs>
        <w:numPr>
          <w:ilvl w:val="0"/>
          <w:numId w:val="2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During the fiscal year ended June 30, 2024, the Company completed the divestitures of Thinsters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and Queen Helene, both were components of the North America reportable segment. Goodwill of $5,732 and $535 was assigned to divested components of Thinsters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and Queen Helene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respectively, on a relative fair value basis.</w:t>
      </w:r>
    </w:p>
    <w:p>
      <w:pPr>
        <w:spacing w:after="0" w:line="96" w:lineRule="exact"/>
        <w:rPr>
          <w:rFonts w:ascii="Times New Roman" w:cs="Times New Roman" w:eastAsia="Times New Roman" w:hAnsi="Times New Roman"/>
          <w:sz w:val="24"/>
          <w:szCs w:val="24"/>
          <w:i w:val="1"/>
          <w:iCs w:val="1"/>
          <w:color w:val="auto"/>
          <w:vertAlign w:val="superscript"/>
        </w:rPr>
      </w:pPr>
    </w:p>
    <w:p>
      <w:pPr>
        <w:ind w:left="760" w:hanging="752"/>
        <w:spacing w:after="0" w:line="228" w:lineRule="auto"/>
        <w:tabs>
          <w:tab w:leader="none" w:pos="760" w:val="left"/>
        </w:tabs>
        <w:numPr>
          <w:ilvl w:val="0"/>
          <w:numId w:val="2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Represents the goodwill assigned to the ParmCrisps</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business in connection with the divestiture of such business, which was ascribed on a relative fair value basis. See Note 5, Disposition, for more information.</w:t>
      </w:r>
    </w:p>
    <w:p>
      <w:pPr>
        <w:spacing w:after="0" w:line="87" w:lineRule="exact"/>
        <w:rPr>
          <w:rFonts w:ascii="Times New Roman" w:cs="Times New Roman" w:eastAsia="Times New Roman" w:hAnsi="Times New Roman"/>
          <w:sz w:val="24"/>
          <w:szCs w:val="24"/>
          <w:i w:val="1"/>
          <w:iCs w:val="1"/>
          <w:color w:val="auto"/>
          <w:vertAlign w:val="superscript"/>
        </w:rPr>
      </w:pPr>
    </w:p>
    <w:p>
      <w:pPr>
        <w:ind w:left="760" w:right="20" w:hanging="752"/>
        <w:spacing w:after="0" w:line="224" w:lineRule="auto"/>
        <w:tabs>
          <w:tab w:leader="none" w:pos="760" w:val="left"/>
        </w:tabs>
        <w:numPr>
          <w:ilvl w:val="0"/>
          <w:numId w:val="2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Represents the goodwill ascribed to the PC business in connection with the classification such business as held for sale. See Note 4, Assets and Liabilities Held for Sale, for more information.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2025, the Company recorded aggregated non-cash goodwill impairment charges of $357,679 within its North America segment and $71,203 within our International reportable segment as a result of goodwill impairment testing discussed below. The fair values for the quantitatively tested reporting units were estimated using a blended approach of the Discounted Cash Flow (“DCF”) method income approach and the Guideline Public Company Methodology (“GPCM”) market approach. Set forth is a table of each reporting unit’s goodwill carrying value as of, and impairment charges and other activity recorded during, the periods presented:</w:t>
      </w:r>
    </w:p>
    <w:tbl>
      <w:tblPr>
        <w:tblLayout w:type="fixed"/>
        <w:tblInd w:w="0" w:type="dxa"/>
        <w:tblCellMar>
          <w:top w:w="0" w:type="dxa"/>
          <w:left w:w="0" w:type="dxa"/>
          <w:bottom w:w="0" w:type="dxa"/>
          <w:right w:w="0" w:type="dxa"/>
        </w:tblCellMar>
      </w:tblPr>
      <w:tr>
        <w:trPr>
          <w:trHeight w:val="156"/>
        </w:trPr>
        <w:tc>
          <w:tcPr>
            <w:tcW w:w="66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77"/>
              <w:spacing w:after="0" w:line="156" w:lineRule="exact"/>
              <w:rPr>
                <w:sz w:val="20"/>
                <w:szCs w:val="20"/>
                <w:color w:val="auto"/>
              </w:rPr>
            </w:pPr>
            <w:r>
              <w:rPr>
                <w:rFonts w:ascii="Times New Roman" w:cs="Times New Roman" w:eastAsia="Times New Roman" w:hAnsi="Times New Roman"/>
                <w:sz w:val="14"/>
                <w:szCs w:val="14"/>
                <w:b w:val="1"/>
                <w:bCs w:val="1"/>
                <w:color w:val="auto"/>
              </w:rPr>
              <w:t>Reporting Unit</w:t>
            </w: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Canada</w:t>
            </w: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U.K.</w:t>
            </w:r>
          </w:p>
        </w:tc>
        <w:tc>
          <w:tcPr>
            <w:tcW w:w="0" w:type="dxa"/>
            <w:vAlign w:val="bottom"/>
          </w:tcPr>
          <w:p>
            <w:pPr>
              <w:spacing w:after="0"/>
              <w:rPr>
                <w:sz w:val="1"/>
                <w:szCs w:val="1"/>
                <w:color w:val="auto"/>
              </w:rPr>
            </w:pPr>
          </w:p>
        </w:tc>
      </w:tr>
      <w:tr>
        <w:trPr>
          <w:trHeight w:val="19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as of June 30, 2024</w:t>
            </w:r>
          </w:p>
        </w:tc>
        <w:tc>
          <w:tcPr>
            <w:tcW w:w="11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641,053</w:t>
            </w:r>
          </w:p>
        </w:tc>
        <w:tc>
          <w:tcPr>
            <w:tcW w:w="34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48,415</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173,538</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September 30, 2024</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Divestiture during three months ended September 30, 2024</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December 31, 2024</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March 31, 2025</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(88,712)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(21,539)</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Reclassification of goodwill to held for sale during three months ended March 31, 2025</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6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Impairment charge during three months ended June 30, 2025</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(138,182)</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(17,979)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(71,203)</w:t>
            </w:r>
          </w:p>
        </w:tc>
        <w:tc>
          <w:tcPr>
            <w:tcW w:w="0" w:type="dxa"/>
            <w:vAlign w:val="bottom"/>
          </w:tcPr>
          <w:p>
            <w:pPr>
              <w:spacing w:after="0"/>
              <w:rPr>
                <w:sz w:val="1"/>
                <w:szCs w:val="1"/>
                <w:color w:val="auto"/>
              </w:rPr>
            </w:pPr>
          </w:p>
        </w:tc>
      </w:tr>
      <w:tr>
        <w:trPr>
          <w:trHeight w:val="216"/>
        </w:trPr>
        <w:tc>
          <w:tcPr>
            <w:tcW w:w="66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Translation</w:t>
            </w:r>
          </w:p>
        </w:tc>
        <w:tc>
          <w:tcPr>
            <w:tcW w:w="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rPr>
              <w:t>13,877</w:t>
            </w:r>
          </w:p>
        </w:tc>
        <w:tc>
          <w:tcPr>
            <w:tcW w:w="0" w:type="dxa"/>
            <w:vAlign w:val="bottom"/>
          </w:tcPr>
          <w:p>
            <w:pPr>
              <w:spacing w:after="0"/>
              <w:rPr>
                <w:sz w:val="1"/>
                <w:szCs w:val="1"/>
                <w:color w:val="auto"/>
              </w:rPr>
            </w:pPr>
          </w:p>
        </w:tc>
      </w:tr>
      <w:tr>
        <w:trPr>
          <w:trHeight w:val="23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 as of June 30, 2025</w:t>
            </w:r>
          </w:p>
        </w:tc>
        <w:tc>
          <w:tcPr>
            <w:tcW w:w="8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6"/>
                <w:szCs w:val="16"/>
                <w:color w:val="auto"/>
              </w:rPr>
              <w:t>312,321</w:t>
            </w:r>
          </w:p>
        </w:tc>
        <w:tc>
          <w:tcPr>
            <w:tcW w:w="1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6"/>
                <w:szCs w:val="16"/>
                <w:color w:val="auto"/>
              </w:rPr>
              <w:t>116,212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111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111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1111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1111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tested its U.S. reporting unit’s goodwill for impairment and, as previously disclosed, determined that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unit’s goodwill was at risk, given that the fair value of the reporting unit was greater than its carrying value by 6.2%.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quarter of fiscal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2025, as a result of the continued decline in the Company’s market capitalization since the previous fiscal year and the recognition of PC intangible asset impairment charges within the reporting units in its North America reportable segment, the Company completed an interim impairment test for goodwill for all of its reporting units utilizing either a quantitative or qualitative test. Consequently, the Company recognized a non-cash impairment charge of $91,267 to reduce the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carrying value of the goodwill of the U.S. reporting unit. In addition to the aforementioned factors, while the Company’s previously announced Hain Reimagined strategy was still in effect, certain significant assumptions in the fair value test of the U.S. reporting unit had changed. Those changes in estimates included a decline in overall sales volume, an increase in the discount rate utilized in the DCF methodology as a result of certain developments related to the Company’s ability to implement its then-current strategy and a decrease in Enterprise Value (“E.V.”)/EBITDA multiples of comparable publicly traded companies, which were utilized in the GPCM under the market approach. For the qualitatively assessed reporting units (Canada, U.K., Western Europe and Ella’s Kitchen U.K.), the Company assessed qualitative factors to determine whether it is more likely than not that the fair value of its reporting unit is less than its carrying amount, including goodwill. The Company concluded that the qualitatively tested reporting units’ estimated fair values exceeded their carrying amounts.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fiscal 2025</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third quarter of fiscal 2025, as a result of a significant reduction in the Company’s actual and projected performance and cash flows primarily within its North America segment, the measurement of the PC business as held for sale, as well as the continued decline in the Company’s market capitalization since the previous quarter, the Company completed an interim impairment test for goodwill for all of its reporting units. As of March 31, 2025, the U.S. and Canada reporting units’ carrying amounts exceeded their estimated fair value, resulting in recognition of non-cash impairment charges of $88,712 and $21,539, respectively, to reduce their respective carrying values. The additional U.S. reporting unit impairment recorded during the third quarter of fiscal 2025 also reflected the sales volume decline that the Company continued to experience, which led to an incremental increase in the discount rate utilized to measure risk in the DCF methodology. Additionally, there was also a corresponding decrease in E.V./EBITDA multiples of comparable publicly traded companies, which were utilized in the GPCM under the market approach. The Canada reporting unit was affected by the PC business being classified as held for sale in addition to the Canadian market being affected by net sales volume declines similar to those that had been experienced by the U.S. reporting unit. For the qualitatively tested reporting units (U.K., Western Europe and Ella’s Kitchen U.K.), the Company assessed qualitative factors to determine whether it is more likely than not that the fair value of its reporting unit is less than its carrying amount, including goodwill. The Company concluded that the qualitatively tested reporting units’ estimated fair values exceeded their carrying amounts, while noting a recent decline in performance within the U.K. reporting units.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impairment testing as of April 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the Company’s annual impairment testing date is on April 1, 2025 (the first day of the fourth quarter of fiscal 2025), the previously aforementioned quantitative tests for the U.S. and Canada reporting units were utilized for the annual impairment test given there were no significant changes to the risks of these reporting units between March 31, 2025 and April 1, 2025. However, the Company performed quantitative tests for its other three reporting units (Western Europe, Ella’s Kitchen and U.K.) on April 1, 2025, which corroborated the results of the qualitative analysis that was performed during the third quarter of fiscal 2025. The fair values of Western Europe and Ella’s Kitchen significantly exceeded their carrying values.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quarter of fiscal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June 30, 2025, the Company identified further indicators of impairment and determined it was necessary to perform a quantitative test of goodwill at the U.S., Canada and U.K. reporting units and a qualitative assessment of its Western Europe and Ella’s Kitchen U.K. reporting units. On a consolidated basis, the continued decline in the Company’s closing stock price per share from $6.91 as of June 30, 2024 to $1.52 as of June 30, 2025 was a significant indicator that led the Company to perform these additional tests. In addition, during the fourth quarter of fiscal 2025, the Board of Directors announced the exit of the Company’s former CEO and that a strategic review of the Company’s portfolio would be performed, as discussed in Note 1.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Business and Basis of Presentation. </w:t>
      </w:r>
      <w:r>
        <w:rPr>
          <w:rFonts w:ascii="Times New Roman" w:cs="Times New Roman" w:eastAsia="Times New Roman" w:hAnsi="Times New Roman"/>
          <w:sz w:val="18"/>
          <w:szCs w:val="18"/>
          <w:color w:val="auto"/>
        </w:rPr>
        <w:t>The following factors were also identified within the reporting units.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fourth quarter of fiscal 2025, the U.S. reporting unit experienced certain significant distribution losses with certain customers that affected both revenue and Adjusted EBITDA. Furthermore, given the continued known decline in the Company’s U.S. forecasts, the discount rate utilized to measure risk in the DCF methodology increased. In addition, there was a reduction in E.V./EBITDA multiples of comparable publicly traded companies, which were utilized in the GPCM under the market approach. These factors led to an impairment of $138,182 being recorded in our U.S. reporting unit for the three months ended June 30, 2025.</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during the fourth quarter of fiscal 2025, the U.K. reporting unit had a reduction in Adjusted EBITDA due to certain regulations related to plastic and national insurance taxes that were enacted during the quarter, and the reduction of Adjusted EBITDA also impacted the discount rate utilized under the DCF approach. The U.K. reporting unit valuation was also impacted by a reduction in the E.V./EBITDA multiples of comparable publicly traded companies, which were utilized in the GPCM under the market approach. These factors led to the recognition of a non-cash goodwill impairment charge of $71,203 being recorded in our U.K. reporting unit as of June 30, 2025.</w:t>
      </w:r>
    </w:p>
    <w:p>
      <w:pPr>
        <w:spacing w:after="0" w:line="14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Canada reporting unit had goodwill of $17,549 remaining as of April 1, 2025. The remaining goodwill was impaired as a result of the Company’s strategic decision to close the Yves Veggie Cuisine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on June 26, 2025, which is expected to be completed in fiscal 2026.</w:t>
      </w:r>
    </w:p>
    <w:p>
      <w:pPr>
        <w:spacing w:after="0" w:line="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Subsequent to these impairment charges, the remaining goodwill at the U.S. and U.K. reporting units was $312,321 and $116,212, respectively, as of June 30, 2025. There was no remaining goodwill at the Canada reporting unit as of June 30, 2025. The goodwill related to the U.S. and U.K. reporting units are at risk of potential impairment if the fair value of these reporting units, and their associated assets, decrease in value due to the amount and timing of expected future cash flows, decreased customer demand for products, an inability to execute management’s business strategies, or general market conditions, such as economic downturns, and changes in interest rates, including discount rates. Future cash flow estimates are, by their nature, subjective, and actual results may differ materially from the Company’s estimates. If the Company’s ongoing cash flow projections are not met or if market factors utilized in the impairment test deteriorate, including an unfavorable change in the terminal growth rate or the weighted-average cost of capital, the Company may have to record additional impairment charges in future periods.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qualitatively tested reporting units (Western Europe and Ella’s Kitchen UK), the Company performed a qualitative evaluation as of June 30, 2025 to assess factors to determine whether it is more likely than not that the fair value of its reporting unit is less than its carrying amount, including goodwill. The Company concluded that the qualitatively tested reporting units’ estimated fair values exceeded their carrying amounts, which was consistent with the conclusions reached on the annual quantitative impairment testing date of April 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the gross carrying amount and accumulated amortization, where applicable, for intangible assets, excluding goodwill: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4"/>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Non-amortized intangible assets:</w:t>
            </w:r>
          </w:p>
        </w:tc>
        <w:tc>
          <w:tcPr>
            <w:tcW w:w="26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58"/>
        </w:trPr>
        <w:tc>
          <w:tcPr>
            <w:tcW w:w="5080" w:type="dxa"/>
            <w:vAlign w:val="bottom"/>
            <w:vMerge w:val="continue"/>
          </w:tcPr>
          <w:p>
            <w:pPr>
              <w:spacing w:after="0"/>
              <w:rPr>
                <w:sz w:val="13"/>
                <w:szCs w:val="13"/>
                <w:color w:val="auto"/>
              </w:rPr>
            </w:pPr>
          </w:p>
        </w:tc>
        <w:tc>
          <w:tcPr>
            <w:tcW w:w="2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080" w:type="dxa"/>
            <w:vAlign w:val="bottom"/>
          </w:tcPr>
          <w:p>
            <w:pPr>
              <w:ind w:left="80"/>
              <w:spacing w:after="0" w:line="267" w:lineRule="exact"/>
              <w:rPr>
                <w:sz w:val="20"/>
                <w:szCs w:val="20"/>
                <w:color w:val="auto"/>
              </w:rPr>
            </w:pPr>
            <w:r>
              <w:rPr>
                <w:rFonts w:ascii="Times New Roman" w:cs="Times New Roman" w:eastAsia="Times New Roman" w:hAnsi="Times New Roman"/>
                <w:sz w:val="18"/>
                <w:szCs w:val="18"/>
                <w:color w:val="auto"/>
              </w:rPr>
              <w:t>Trademarks and tradenames</w:t>
            </w:r>
            <w:r>
              <w:rPr>
                <w:rFonts w:ascii="Times New Roman" w:cs="Times New Roman" w:eastAsia="Times New Roman" w:hAnsi="Times New Roman"/>
                <w:sz w:val="24"/>
                <w:szCs w:val="24"/>
                <w:color w:val="auto"/>
                <w:vertAlign w:val="superscript"/>
              </w:rPr>
              <w:t>(1)</w:t>
            </w:r>
          </w:p>
        </w:tc>
        <w:tc>
          <w:tcPr>
            <w:tcW w:w="3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179,282</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195,237</w:t>
            </w:r>
          </w:p>
        </w:tc>
        <w:tc>
          <w:tcPr>
            <w:tcW w:w="0" w:type="dxa"/>
            <w:vAlign w:val="bottom"/>
          </w:tcPr>
          <w:p>
            <w:pPr>
              <w:spacing w:after="0"/>
              <w:rPr>
                <w:sz w:val="1"/>
                <w:szCs w:val="1"/>
                <w:color w:val="auto"/>
              </w:rPr>
            </w:pPr>
          </w:p>
        </w:tc>
      </w:tr>
      <w:tr>
        <w:trPr>
          <w:trHeight w:val="164"/>
        </w:trPr>
        <w:tc>
          <w:tcPr>
            <w:tcW w:w="5080" w:type="dxa"/>
            <w:vAlign w:val="bottom"/>
          </w:tcPr>
          <w:p>
            <w:pPr>
              <w:spacing w:after="0" w:line="164" w:lineRule="exact"/>
              <w:rPr>
                <w:sz w:val="20"/>
                <w:szCs w:val="20"/>
                <w:color w:val="auto"/>
              </w:rPr>
            </w:pPr>
            <w:r>
              <w:rPr>
                <w:rFonts w:ascii="Times New Roman" w:cs="Times New Roman" w:eastAsia="Times New Roman" w:hAnsi="Times New Roman"/>
                <w:sz w:val="18"/>
                <w:szCs w:val="18"/>
                <w:color w:val="auto"/>
              </w:rPr>
              <w:t>Amortized intangible assets:</w:t>
            </w:r>
          </w:p>
        </w:tc>
        <w:tc>
          <w:tcPr>
            <w:tcW w:w="2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5080" w:type="dxa"/>
            <w:vAlign w:val="bottom"/>
          </w:tcPr>
          <w:p>
            <w:pPr>
              <w:ind w:left="80"/>
              <w:spacing w:after="0" w:line="267" w:lineRule="exact"/>
              <w:rPr>
                <w:sz w:val="20"/>
                <w:szCs w:val="20"/>
                <w:color w:val="auto"/>
              </w:rPr>
            </w:pPr>
            <w:r>
              <w:rPr>
                <w:rFonts w:ascii="Times New Roman" w:cs="Times New Roman" w:eastAsia="Times New Roman" w:hAnsi="Times New Roman"/>
                <w:sz w:val="18"/>
                <w:szCs w:val="18"/>
                <w:color w:val="auto"/>
              </w:rPr>
              <w:t>Other intangibles</w:t>
            </w:r>
            <w:r>
              <w:rPr>
                <w:rFonts w:ascii="Times New Roman" w:cs="Times New Roman" w:eastAsia="Times New Roman" w:hAnsi="Times New Roman"/>
                <w:sz w:val="24"/>
                <w:szCs w:val="24"/>
                <w:color w:val="auto"/>
                <w:vertAlign w:val="superscript"/>
              </w:rPr>
              <w:t>(2)</w:t>
            </w:r>
          </w:p>
        </w:tc>
        <w:tc>
          <w:tcPr>
            <w:tcW w:w="2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159,162</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167,886</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(127,539)</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(118,324)</w:t>
            </w:r>
          </w:p>
        </w:tc>
        <w:tc>
          <w:tcPr>
            <w:tcW w:w="0" w:type="dxa"/>
            <w:vAlign w:val="bottom"/>
          </w:tcPr>
          <w:p>
            <w:pPr>
              <w:spacing w:after="0"/>
              <w:rPr>
                <w:sz w:val="1"/>
                <w:szCs w:val="1"/>
                <w:color w:val="auto"/>
              </w:rPr>
            </w:pPr>
          </w:p>
        </w:tc>
      </w:tr>
      <w:tr>
        <w:trPr>
          <w:trHeight w:val="210"/>
        </w:trPr>
        <w:tc>
          <w:tcPr>
            <w:tcW w:w="50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amortized intangible assets</w:t>
            </w:r>
          </w:p>
        </w:tc>
        <w:tc>
          <w:tcPr>
            <w:tcW w:w="2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31,623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49,562</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other intangible assets</w:t>
            </w:r>
          </w:p>
        </w:tc>
        <w:tc>
          <w:tcPr>
            <w:tcW w:w="26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210,905</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244,799</w:t>
            </w: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-1002665</wp:posOffset>
            </wp:positionV>
            <wp:extent cx="713232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84" w:lineRule="exact"/>
        <w:rPr>
          <w:sz w:val="20"/>
          <w:szCs w:val="20"/>
          <w:color w:val="auto"/>
        </w:rPr>
      </w:pPr>
    </w:p>
    <w:p>
      <w:pPr>
        <w:ind w:left="760" w:hanging="752"/>
        <w:spacing w:after="0" w:line="224" w:lineRule="auto"/>
        <w:tabs>
          <w:tab w:leader="none" w:pos="760" w:val="left"/>
        </w:tabs>
        <w:numPr>
          <w:ilvl w:val="0"/>
          <w:numId w:val="23"/>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gross carrying value of trademarks and tradenames is reflected net of $275,990 and $251,551 of accumulated impairment charges as of June 30, 2025 and 2024, respectively.</w:t>
      </w:r>
    </w:p>
    <w:p>
      <w:pPr>
        <w:spacing w:after="0" w:line="89" w:lineRule="exact"/>
        <w:rPr>
          <w:rFonts w:ascii="Times New Roman" w:cs="Times New Roman" w:eastAsia="Times New Roman" w:hAnsi="Times New Roman"/>
          <w:sz w:val="24"/>
          <w:szCs w:val="24"/>
          <w:i w:val="1"/>
          <w:iCs w:val="1"/>
          <w:color w:val="auto"/>
          <w:vertAlign w:val="superscript"/>
        </w:rPr>
      </w:pPr>
    </w:p>
    <w:p>
      <w:pPr>
        <w:ind w:left="760" w:hanging="752"/>
        <w:spacing w:after="0" w:line="224" w:lineRule="auto"/>
        <w:tabs>
          <w:tab w:leader="none" w:pos="760" w:val="left"/>
        </w:tabs>
        <w:numPr>
          <w:ilvl w:val="0"/>
          <w:numId w:val="23"/>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The reduction in carrying value of other intangible assets as of June 30, 2025 reflected accumulated non-cash impairment charges of $30,326 and $17,032 recognized in the fiscal year ended June 30, 2025 and 2024, respectively.</w:t>
      </w:r>
    </w:p>
    <w:p>
      <w:pPr>
        <w:spacing w:after="0" w:line="15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8"/>
          <w:szCs w:val="18"/>
          <w:color w:val="auto"/>
        </w:rPr>
        <w:t>During the fourth quarter of fiscal 2025, the Company quantitatively tested tradenames associated with its snacks and meal preparation brands,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estimated fair value of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exceeded its carrying value by approximately 18.6%. The quantitative assessment indicated that the carrying value of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tradenames exceeded their estimated fair value. The fair value was determined using the relief from royalty method, and an aggregate non-cash impairment charge of $21,100 was recorded within intangibles and long-lived asset impairment on the consolidated statements of operations. The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North America reportable segment and had a remaining aggregate carrying value of $8,000 and $11,800, respectively, as of June 30, 2025. The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 was also part of the North America reportable segment and had no remaining carrying value as of June 30, 2025. The Spectrum</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tradenames remain at risk of impairment in future periods in the event of</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unfavorable changes in assumptions, including forecasted future cash flows based on execution of strategic initiatives for increasing revenue, as well as discount rates and other macroeconomic factors.</w:t>
      </w:r>
    </w:p>
    <w:p>
      <w:pPr>
        <w:spacing w:after="0" w:line="12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During the third quarter of fiscal 2025, the Company recorded a non-cash impairment charge of $960 within its North America reportable segment related to its Health Valley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The asset was part of the North America reportable segment and had no remaining carrying value as of June 30, 2025.</w:t>
      </w:r>
    </w:p>
    <w:p>
      <w:pPr>
        <w:spacing w:after="0" w:line="5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During the second quarter of fiscal 2025, the Company recorded a non-cash impairment charge of $15,733 within its North America reportable segment. Non-cash impairment charges of $12,085 were related to the PC intangible assets, primarily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Live Clean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and tradenames and $3,648 was related to Belvedere™ trademark and customer relationships. The assets are part of the North America reportable segment and had no remaining carrying value as of June 30, 2025.</w:t>
      </w:r>
    </w:p>
    <w:p>
      <w:pPr>
        <w:spacing w:after="0" w:line="16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During the third quarter of fiscal 2024, the Company recorded a non-cash impairment charge of $10,797 related to the indefinite and definite lived intangible assets associated with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 connection with the probable sale of the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cookie business. The Company concluded that, as of March 31, 2024, there was a high probability that the sale of the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would occur and, therefore, a quantitative impairment test was performed. To determine the amount of the impairment, the Company compared the carrying amount of the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assets to its estimated fair value (which was the expected selling price less transaction costs).</w:t>
      </w:r>
    </w:p>
    <w:p>
      <w:pPr>
        <w:spacing w:after="0" w:line="15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During the third quarter of fiscal 2024, the Company recorded non-cash impairment charges of $12,815 and $8,000 for certain North America personal care tradenames (namely,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respectively, to reduce the carrying amounts of such intangible assets to their estimated fair values of $13,000 and nil, respectively. The fair value was determined using the relief from royalty method, and impairment charges were recorded within intangibles and long-lived asset impairment on the consolidated statements of operations. The assets are part of the North America reportable segment. As a result of the same factors triggering the interim impairment tests for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the Company completed impairment tests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 which was primarily comprised of amortizable customer relationships, machinery and equipment and operating lease right-of-use assets. The Company determined that the carrying amount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 exceeded the estimated fair value. During the fiscal year ended June 30, 2024, the Company recorded non-cash impairment charges of $10,586 to reduce the carrying amount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customer relationships to their estimated fair value which was determined using a discounted cash flow analysis. Impairment charges were recorded within intangibles and long-lived asset impairment on the consolidated statements of operations. The customer relationship intangible asset was part of the North America reportable segment and was fully impaired.</w:t>
      </w:r>
    </w:p>
    <w:p>
      <w:pPr>
        <w:spacing w:after="0" w:line="17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the fourth quarter of fiscal 2024, the Company quantitatively tested another intangible asset. The assessment indicated that the carrying value of the trademarks associated with its plant-based beverage brands, Happy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exceeded its estimated fair value. The fair value was determined using the relief from royalty method, and a non-cash impairment charge of $2,260 was recorded within intangibles and long-lived asset impairment on the consolidated statements of operations. The Happy™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International reportable segment and had a remaining aggregate carrying value of $3,761 as of June 30, 2024.</w:t>
      </w:r>
    </w:p>
    <w:p>
      <w:pPr>
        <w:spacing w:after="0" w:line="165"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During the fourth quarter of fiscal 2023, the Company recorded non-cash impairment charges of $4,767, $4,691 and $9,150 for the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Queen Helene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respectively, to reduce the carrying amount of such intangible assets to their estimated fair value. The fair values were determined using the relief from royalty method, and impairment charges were recorded within intangibles and long-lived asset impairment on the consolidated statements of operations. The 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Queen Helene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North America reportable segment and had a remaining aggregate carrying value of $3,100 as of June 30, 2024. The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intangible assets are part of the International reportable segment and had a remaining aggregate carrying value of $3,761 as of June 30, 2024.</w:t>
      </w:r>
    </w:p>
    <w:p>
      <w:pPr>
        <w:spacing w:after="0" w:line="16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During fiscal 2023, the Company recorded non-cash impairment charges of $102,000 and $8,500 for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respectively, to reduce the carrying amount of such intangible assets to their estimated fair value. The fair values were determined using the relief from royalty method, and impairment charges were recorded within intangibles and long-lived asset impairment on the consolidated statements of operations. The assets are part of the North America reportable segment and were fully impaired as of June 30, 2024. As a result of the same factors triggering the interim impairment tests for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 the Company completed interim impairment tests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groups, which were primarily comprised of amortizable customer relationships. The Company determined that the carrying amount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 exceeded its estimated fair value. During the fiscal year ended June 30, 2023, the Company recorded non-cash impairment charges of $45,798 to reduce the carrying amount of the 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customer relationships, the primary asset in the casset group, to their estimated fair value. Impairment charges were recorded within intangibles and long-lived asset impairment on the consolidated statements of operations. The fair value of the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asset group exceeded its carrying amount. During the fiscal year ended June 30, 2024, the Company completed the sale of the 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business as discussed in Note 5, </w:t>
      </w:r>
      <w:r>
        <w:rPr>
          <w:rFonts w:ascii="Times New Roman" w:cs="Times New Roman" w:eastAsia="Times New Roman" w:hAnsi="Times New Roman"/>
          <w:sz w:val="18"/>
          <w:szCs w:val="18"/>
          <w:i w:val="1"/>
          <w:iCs w:val="1"/>
          <w:color w:val="auto"/>
        </w:rPr>
        <w:t>Dispositions.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Non-cash impairment charges, recorded within intangibles and long-lived asset impairment on the consolidated statements of operations, for the fiscal years ended June 30, 2025, June 30, 2024 and June 30, 2023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3"/>
        </w:trPr>
        <w:tc>
          <w:tcPr>
            <w:tcW w:w="6360" w:type="dxa"/>
            <w:vAlign w:val="bottom"/>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Sensible Portions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w:t>
            </w: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18,000</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Personal care tradenames (Alba Botanica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Avalon Organics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JASON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12,815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Belvedere™ trademark and customer relationships</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3,648</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Imagine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tradename</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4,767</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Health Valley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Thinsters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and customer relationships</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10,797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8,500</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customer relationships</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10,586</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45,798</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ParmCrisps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102,000</w:t>
            </w:r>
          </w:p>
        </w:tc>
        <w:tc>
          <w:tcPr>
            <w:tcW w:w="0" w:type="dxa"/>
            <w:vAlign w:val="bottom"/>
          </w:tcPr>
          <w:p>
            <w:pPr>
              <w:spacing w:after="0"/>
              <w:rPr>
                <w:sz w:val="1"/>
                <w:szCs w:val="1"/>
                <w:color w:val="auto"/>
              </w:rPr>
            </w:pPr>
          </w:p>
        </w:tc>
      </w:tr>
      <w:tr>
        <w:trPr>
          <w:trHeight w:val="216"/>
        </w:trPr>
        <w:tc>
          <w:tcPr>
            <w:tcW w:w="63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Happy™ and Joya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trademarks</w:t>
            </w:r>
          </w:p>
        </w:tc>
        <w:tc>
          <w:tcPr>
            <w:tcW w:w="8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2,260</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16"/>
        </w:trPr>
        <w:tc>
          <w:tcPr>
            <w:tcW w:w="63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Queen Helene</w:t>
            </w:r>
            <w:r>
              <w:rPr>
                <w:rFonts w:ascii="Times New Roman" w:cs="Times New Roman" w:eastAsia="Times New Roman" w:hAnsi="Times New Roman"/>
                <w:sz w:val="24"/>
                <w:szCs w:val="24"/>
                <w:color w:val="auto"/>
                <w:vertAlign w:val="superscript"/>
              </w:rPr>
              <w:t>®</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9,150</w:t>
            </w:r>
          </w:p>
        </w:tc>
        <w:tc>
          <w:tcPr>
            <w:tcW w:w="0" w:type="dxa"/>
            <w:vAlign w:val="bottom"/>
          </w:tcPr>
          <w:p>
            <w:pPr>
              <w:spacing w:after="0"/>
              <w:rPr>
                <w:sz w:val="1"/>
                <w:szCs w:val="1"/>
                <w:color w:val="auto"/>
              </w:rPr>
            </w:pPr>
          </w:p>
        </w:tc>
      </w:tr>
      <w:tr>
        <w:trPr>
          <w:trHeight w:val="216"/>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37,793</w:t>
            </w: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44,602</w:t>
            </w:r>
          </w:p>
        </w:tc>
        <w:tc>
          <w:tcPr>
            <w:tcW w:w="10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174,906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1111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1111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Amortized intangible assets, which are deemed to have a finite life, primarily consist of customer relationships, trademarks and tradenames and are amortized over their estimated useful lives of 7 to 25 years. The weighted average remaining amortization period of amortized intangible assets is 8.37 years. Expected amortization expense for the next five fiscal years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Fiscal Year Ending June 30,</w:t>
            </w: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02"/>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2030</w:t>
            </w: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Estimated amortization expense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4,701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8"/>
                <w:szCs w:val="18"/>
                <w:color w:val="auto"/>
              </w:rPr>
              <w:t>4,667</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3,971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3,355</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3,355</w:t>
            </w:r>
          </w:p>
        </w:tc>
      </w:tr>
    </w:tbl>
    <w:p>
      <w:pPr>
        <w:spacing w:after="0" w:line="36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10.</w:t>
        <w:tab/>
        <w:t>ACCRUED EXPENSES AND OTHER CURRENT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employee benefits and other administrative accruals</w:t>
            </w:r>
          </w:p>
        </w:tc>
        <w:tc>
          <w:tcPr>
            <w:tcW w:w="19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38,211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43,408</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Facility, freight and warehousing accruals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9,250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9,115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10,759</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related accruals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6,892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11,485</w:t>
            </w:r>
          </w:p>
        </w:tc>
        <w:tc>
          <w:tcPr>
            <w:tcW w:w="0" w:type="dxa"/>
            <w:vAlign w:val="bottom"/>
          </w:tcPr>
          <w:p>
            <w:pPr>
              <w:spacing w:after="0"/>
              <w:rPr>
                <w:sz w:val="1"/>
                <w:szCs w:val="1"/>
                <w:color w:val="auto"/>
              </w:rPr>
            </w:pPr>
          </w:p>
        </w:tc>
      </w:tr>
      <w:tr>
        <w:trPr>
          <w:trHeight w:val="216"/>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6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4,958</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09"/>
        </w:trPr>
        <w:tc>
          <w:tcPr>
            <w:tcW w:w="6140" w:type="dxa"/>
            <w:vAlign w:val="bottom"/>
          </w:tcPr>
          <w:p>
            <w:pPr>
              <w:spacing w:after="0"/>
              <w:rPr>
                <w:sz w:val="18"/>
                <w:szCs w:val="18"/>
                <w:color w:val="auto"/>
              </w:rPr>
            </w:pPr>
          </w:p>
        </w:tc>
        <w:tc>
          <w:tcPr>
            <w:tcW w:w="19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68,426</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85,714</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DEBT AND BORROWINGS</w:t>
            </w:r>
          </w:p>
        </w:tc>
        <w:tc>
          <w:tcPr>
            <w:tcW w:w="1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1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 and borrowings consisted of the following:</w:t>
            </w: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9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450,500</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475,000</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Term loans</w:t>
            </w:r>
          </w:p>
        </w:tc>
        <w:tc>
          <w:tcPr>
            <w:tcW w:w="1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255,550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270,550</w:t>
            </w:r>
          </w:p>
        </w:tc>
        <w:tc>
          <w:tcPr>
            <w:tcW w:w="0" w:type="dxa"/>
            <w:vAlign w:val="bottom"/>
          </w:tcPr>
          <w:p>
            <w:pPr>
              <w:spacing w:after="0"/>
              <w:rPr>
                <w:sz w:val="1"/>
                <w:szCs w:val="1"/>
                <w:color w:val="auto"/>
              </w:rPr>
            </w:pPr>
          </w:p>
        </w:tc>
      </w:tr>
      <w:tr>
        <w:trPr>
          <w:trHeight w:val="216"/>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issuance costs</w:t>
            </w: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borrowings</w:t>
            </w:r>
            <w:r>
              <w:rPr>
                <w:rFonts w:ascii="Times New Roman" w:cs="Times New Roman" w:eastAsia="Times New Roman" w:hAnsi="Times New Roman"/>
                <w:sz w:val="24"/>
                <w:szCs w:val="24"/>
                <w:color w:val="auto"/>
                <w:vertAlign w:val="superscript"/>
              </w:rPr>
              <w:t>(1)</w:t>
            </w:r>
          </w:p>
        </w:tc>
        <w:tc>
          <w:tcPr>
            <w:tcW w:w="1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09"/>
        </w:trPr>
        <w:tc>
          <w:tcPr>
            <w:tcW w:w="6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704,821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744,092</w:t>
            </w:r>
          </w:p>
        </w:tc>
        <w:tc>
          <w:tcPr>
            <w:tcW w:w="0" w:type="dxa"/>
            <w:vAlign w:val="bottom"/>
          </w:tcPr>
          <w:p>
            <w:pPr>
              <w:spacing w:after="0"/>
              <w:rPr>
                <w:sz w:val="1"/>
                <w:szCs w:val="1"/>
                <w:color w:val="auto"/>
              </w:rPr>
            </w:pPr>
          </w:p>
        </w:tc>
      </w:tr>
      <w:tr>
        <w:trPr>
          <w:trHeight w:val="216"/>
        </w:trPr>
        <w:tc>
          <w:tcPr>
            <w:tcW w:w="61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Short-term borrowings and current portion of long-term debt</w:t>
            </w:r>
            <w:r>
              <w:rPr>
                <w:rFonts w:ascii="Times New Roman" w:cs="Times New Roman" w:eastAsia="Times New Roman" w:hAnsi="Times New Roman"/>
                <w:sz w:val="24"/>
                <w:szCs w:val="24"/>
                <w:color w:val="auto"/>
                <w:vertAlign w:val="superscript"/>
              </w:rPr>
              <w:t>(2)</w:t>
            </w:r>
          </w:p>
        </w:tc>
        <w:tc>
          <w:tcPr>
            <w:tcW w:w="1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7,653</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7,569</w:t>
            </w: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6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697,168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12"/>
              <w:spacing w:after="0"/>
              <w:rPr>
                <w:sz w:val="20"/>
                <w:szCs w:val="20"/>
                <w:color w:val="auto"/>
              </w:rPr>
            </w:pPr>
            <w:r>
              <w:rPr>
                <w:rFonts w:ascii="Times New Roman" w:cs="Times New Roman" w:eastAsia="Times New Roman" w:hAnsi="Times New Roman"/>
                <w:sz w:val="18"/>
                <w:szCs w:val="18"/>
                <w:color w:val="auto"/>
              </w:rPr>
              <w:t>736,523</w:t>
            </w: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-2159635</wp:posOffset>
            </wp:positionV>
            <wp:extent cx="1111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6" w:lineRule="exact"/>
        <w:rPr>
          <w:sz w:val="20"/>
          <w:szCs w:val="20"/>
          <w:color w:val="auto"/>
        </w:rPr>
      </w:pPr>
    </w:p>
    <w:p>
      <w:pPr>
        <w:ind w:left="300" w:hanging="292"/>
        <w:spacing w:after="0"/>
        <w:tabs>
          <w:tab w:leader="none" w:pos="300" w:val="left"/>
        </w:tabs>
        <w:numPr>
          <w:ilvl w:val="0"/>
          <w:numId w:val="2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Includes $615 (2024: $222) of finance lease obligations.</w:t>
      </w:r>
    </w:p>
    <w:p>
      <w:pPr>
        <w:spacing w:after="0" w:line="1" w:lineRule="exact"/>
        <w:rPr>
          <w:rFonts w:ascii="Times New Roman" w:cs="Times New Roman" w:eastAsia="Times New Roman" w:hAnsi="Times New Roman"/>
          <w:sz w:val="24"/>
          <w:szCs w:val="24"/>
          <w:i w:val="1"/>
          <w:iCs w:val="1"/>
          <w:color w:val="auto"/>
          <w:vertAlign w:val="superscript"/>
        </w:rPr>
      </w:pPr>
    </w:p>
    <w:p>
      <w:pPr>
        <w:ind w:left="300" w:hanging="292"/>
        <w:spacing w:after="0" w:line="186" w:lineRule="auto"/>
        <w:tabs>
          <w:tab w:leader="none" w:pos="300" w:val="left"/>
        </w:tabs>
        <w:numPr>
          <w:ilvl w:val="0"/>
          <w:numId w:val="24"/>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8"/>
          <w:szCs w:val="18"/>
          <w:i w:val="1"/>
          <w:iCs w:val="1"/>
          <w:color w:val="auto"/>
        </w:rPr>
        <w:t>Includes $153 (2024: $85) of short-term finance lease obligations.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ectPr>
          <w:pgSz w:w="11900" w:h="16838" w:orient="portrait"/>
          <w:cols w:equalWidth="0" w:num="1">
            <w:col w:w="11240"/>
          </w:cols>
          <w:pgMar w:left="320" w:top="117"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2021, the Company entered into a Fourth Amended and Restated Credit Agreement (as subsequently amended, the “Credit Agreement”). The Credit Agreement originally provided for senior secured financing of $1,100,000 in the aggregate, consisting of (1) $300,000 in aggregate principal amount of term loans (the “Term Loans”) and (2) an $800,000 senior secured revolving credit facility (which includes borrowing capacity available for letters of credit, and was originally comprised of a $440,000 U.S. revolving credit facility and $360,000 global revolving credit facility) (the “Revolver”). Both the Revolver and the Term Loans mature on December 22, 2026. The Company’s obligations under the Credit Agreement are guaranteed by certain existing and future domestic subsidiaries of the Company and are secured by liens on assets of the Company and its material domestic subsidiaries, including the equity interest in each of their direct subsidiaries and intellectual property, subject to agreed-upon exceptions.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 Agreement includes financial covenants that require compliance with a consolidated secured leverage ratio, a consolidated leverage ratio and a consolidated interest coverage ratio. On August 22, 2023, the Company entered into a Second Amendment (the “Second Amendment”) to the Credit Agreement. Pursuant to the Second Amendment, the Company’s maximum consolidated secured leverage ratio was amended to be 5.00:1.00 until September 30, 2023, 5.25:1.00 until December 31, 2023, 5.00:1.00 until December 31, 2024, and 4.25:1.00 thereafter. See below for a description of the Third Amendment and Fourth Amendment (each as defined below). Following the Fourth Amendment, the Company’s maximum consolidated secured leverage ratio under the Credit Agreement was 5.00:1.00 for the quarter ended June 30, 2025 and is 5.50:1.00 for the quarter ending September 30, 2025 and thereafter. Pursuant to the Credit Agreement, the Company’s maximum consolidated leverage ratio is 6.00:1.00 and, through June 30, 2025, its minimum interest coverage ratio was 2.50:1.00.</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the Second Amendment until the date of the Third Amendment, loans under the Credit Agreement bore interest at (a) the Secured Overnight Financing Rate plus a credit spread adjustment of 0.10% (“Term SOFR”) plus 2.5% per annum or (b) the Base Rate (as defined in the Credit Agreement) plus 1.5% per annum.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5, 2025, the Company entered into a Third Amendment (the “Third Amendment”) to the Credit Agreement. Pursuant to the Third Amendment, the Company’s maximum consolidated secured leverage ratio was amended to be 4.75:1.00 for the quarter ending June 30, 2025 through (and including) the quarter ending March 31, 2026, 4.50:1.00 for the quarter ending June 30, 2026, and 4.25:1.00 for the quarter ending September 30, 2026 and thereafter.</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Third Amendment, loans under the Credit Agreement bore interest at (a) Term SOFR plus 3.00% per annum or (b) the Base Rate plus 2.00% per annum.</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Third Amendment also reduced the size of the Revolver from $800,000 to $700,000 in the aggregate, with the U.S. revolving credit facility reduced from $440,000 to $385,000 and the global revolving credit facility reduced from $360,000 to $315,000.</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On September 11, 2025, the Company entered into a Fourth Amendment (the “Fourth Amendment”) to the Credit Agreement. Pursuant to the Fourth Amendment, (x) the Company’s maximum consolidated secured leverage ratio was amended to be 5.00:1.00 for the quarter ending June 30, 2025 and 5.50:1.00 for the quarter ending September 30, 2025 and thereafter, (y) the Company’s minimum consolidated interest coverage ratio was amended to be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2.00:1.00 for the quarter ending September 30, 2025 and thereafter and (z) a covenant was added requiring the Company to maintain a minimum Consolidated EBITDA (as such term is defined in the Credit Agreement as amended by the Fourth Amendment) of (i) $17,000 for the quarter ending September 30, 2025 and (ii) $52,000 for the cumulative two quarters ending September 30, 2025 and on December 31, 2025. The aforementioned financial covenants use financial measures that are defined under the Credit Agreement and not pursuant to U.S. generally accepted accounting principles. Please refer to the Credit Agreement and amendments filed as exhibits to this Form 10-K for further information related to the calculation thereof.</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Commencing on the date of the Fourth Amendment, loans under the Credit Agreement bear interest at (a) Term SOFR plus 4.00% per annum or (b) the Base Rate plus 3.00% per annum.</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Fourth Amendment also reduced the size of the Revolver from $700,000 to $600,000 in the aggregate, with the U.S. revolving credit facility reduced from $385,000 to $330,000 and the global revolving credit facility reduced from $315,000 to $270,000.</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hedges, the weighted average interest rate on outstanding borrowings under the Credit Agreement at June 30, 2025 was 7.34%. The Company uses interest rate swaps to hedge a portion of the interest rate risk related to its outstanding variable rate debt. As of June 30, 2025, the notional amount of the interest rate swaps was $400,000 with fixed rate payments of 6.12%. Including the impact of hedges, the weighted average interest rate on outstanding borrowings under the Credit Agreement at June 30, 2025 was 6.44%. Additionally, the Credit Agreement contains a commitment fee of 0.25% per annum on the amount unused under the Credit Agreement.</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there were $450,500 of loans under the Revolver, $255,550 of Term Loans, and $2,775 of letters of credit outstanding under the Credit Agreement. As of June 30, 2025, $246,725 was available under the Credit Agreement, subject to compliance with the financial covenants. As of June 30, 2025, the Company was in compliance with all associated covenants.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amendments to the Credit Agreement during the second quarter of fiscal year 2023, and the first quarter of fiscal 2024, the Company incurred debt issuance costs of approximately $5,841, of which $5,729 was deferred. Of the total deferred costs, $4,198 were associated with the Revolver and are being amortized on a straight-line basis within Other assets on the consolidated balance sheets, and $1,531 are being recorded as an adjustment to the carrying amount of the Term Loans as a component of Interest and other financing expense, net over the term of the Credit Agreement utilizing the effective interest rate method. In May 2025, the Company amended the credit agreement that decreased the borrowing capacity of the Revolver, resulting in write-off of $380 of previously capitalized deferred costs.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Second Amendment to its Credit Agreement during the fourth quarter of fiscal year 2025, the Company incurred debt issuance costs of approximately $3,448, of which $3,413 was deferred. Of the total deferred costs, $2,476 were associated with the Revolver and are being amortized on a straight-line basis within Other assets on our consolidated balance sheets, and $937 are being amortized on a straight-line basis, which approximates the effective interest method, as an adjustment to the carrying amount of the Term Loans as a component of Interest and other financing expense, net over the term of the Credit Agreement.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all debt instruments, excluding unamortized issuance costs, at June 30, 2025,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Due in Fiscal Year</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7,653</w:t>
            </w:r>
          </w:p>
        </w:tc>
      </w:tr>
      <w:tr>
        <w:trPr>
          <w:trHeight w:val="216"/>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698,692</w:t>
            </w:r>
          </w:p>
        </w:tc>
      </w:tr>
      <w:tr>
        <w:trPr>
          <w:trHeight w:val="216"/>
        </w:trPr>
        <w:tc>
          <w:tcPr>
            <w:tcW w:w="9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319</w:t>
            </w:r>
          </w:p>
        </w:tc>
      </w:tr>
      <w:tr>
        <w:trPr>
          <w:trHeight w:val="209"/>
        </w:trPr>
        <w:tc>
          <w:tcPr>
            <w:tcW w:w="9020" w:type="dxa"/>
            <w:vAlign w:val="bottom"/>
          </w:tcPr>
          <w:p>
            <w:pPr>
              <w:spacing w:after="0"/>
              <w:rPr>
                <w:sz w:val="20"/>
                <w:szCs w:val="20"/>
                <w:color w:val="auto"/>
              </w:rPr>
            </w:pPr>
            <w:r>
              <w:rPr>
                <w:rFonts w:ascii="Times New Roman" w:cs="Times New Roman" w:eastAsia="Times New Roman" w:hAnsi="Times New Roman"/>
                <w:sz w:val="18"/>
                <w:szCs w:val="18"/>
                <w:color w:val="auto"/>
              </w:rPr>
              <w:t>Total debt and borrowings</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706,664</w:t>
            </w: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paid during the fiscal years ended June 30, 2025, 2024 and 2023 amounted to $46,265, $52,456 and $41,698, respectively.</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and equity in net loss of equity-method investees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Domestic</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(456,528)</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(148,014)</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(183,601)</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(57,203)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67,733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54,020</w:t>
            </w:r>
          </w:p>
        </w:tc>
      </w:tr>
      <w:tr>
        <w:trPr>
          <w:trHeight w:val="25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(513,731)</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(80,281)</w:t>
            </w:r>
          </w:p>
        </w:tc>
        <w:tc>
          <w:tcPr>
            <w:tcW w:w="140" w:type="dxa"/>
            <w:vAlign w:val="bottom"/>
            <w:tcBorders>
              <w:right w:val="single" w:sz="8" w:color="CFF0FC"/>
            </w:tcBorders>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(129,581)</w:t>
            </w:r>
          </w:p>
        </w:tc>
      </w:tr>
      <w:tr>
        <w:trPr>
          <w:trHeight w:val="413"/>
        </w:trPr>
        <w:tc>
          <w:tcPr>
            <w:tcW w:w="5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tc>
        <w:tc>
          <w:tcPr>
            <w:tcW w:w="8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365"/>
        </w:trPr>
        <w:tc>
          <w:tcPr>
            <w:tcW w:w="5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5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3,686</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3,103</w:t>
            </w:r>
          </w:p>
        </w:tc>
      </w:tr>
      <w:tr>
        <w:trPr>
          <w:trHeight w:val="216"/>
        </w:trPr>
        <w:tc>
          <w:tcPr>
            <w:tcW w:w="5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1,260</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953</w:t>
            </w: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14,774</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14,980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7,719</w:t>
            </w:r>
          </w:p>
        </w:tc>
      </w:tr>
      <w:tr>
        <w:trPr>
          <w:trHeight w:val="210"/>
        </w:trPr>
        <w:tc>
          <w:tcPr>
            <w:tcW w:w="576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19,720</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15,541</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11,775</w:t>
            </w: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(23,403)</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(23,551)</w:t>
            </w:r>
          </w:p>
        </w:tc>
      </w:tr>
      <w:tr>
        <w:trPr>
          <w:trHeight w:val="216"/>
        </w:trPr>
        <w:tc>
          <w:tcPr>
            <w:tcW w:w="5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w:t>
            </w:r>
          </w:p>
        </w:tc>
        <w:tc>
          <w:tcPr>
            <w:tcW w:w="8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2,428</w:t>
            </w:r>
          </w:p>
        </w:tc>
        <w:tc>
          <w:tcPr>
            <w:tcW w:w="140" w:type="dxa"/>
            <w:vAlign w:val="bottom"/>
            <w:tcBorders>
              <w:bottom w:val="single" w:sz="8" w:color="CFF0FC"/>
              <w:right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(2,673)</w:t>
            </w:r>
          </w:p>
        </w:tc>
      </w:tr>
      <w:tr>
        <w:trPr>
          <w:trHeight w:val="210"/>
        </w:trPr>
        <w:tc>
          <w:tcPr>
            <w:tcW w:w="5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(25,953)</w:t>
            </w:r>
          </w:p>
        </w:tc>
      </w:tr>
      <w:tr>
        <w:trPr>
          <w:trHeight w:val="22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15,297</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(14,178)</w:t>
            </w: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-2211070</wp:posOffset>
            </wp:positionV>
            <wp:extent cx="1028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-2193925</wp:posOffset>
            </wp:positionV>
            <wp:extent cx="1028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-2211070</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-2193925</wp:posOffset>
            </wp:positionV>
            <wp:extent cx="939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-873760</wp:posOffset>
            </wp:positionV>
            <wp:extent cx="1028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-873760</wp:posOffset>
            </wp:positionV>
            <wp:extent cx="939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-316865</wp:posOffset>
            </wp:positionV>
            <wp:extent cx="1028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-316865</wp:posOffset>
            </wp:positionV>
            <wp:extent cx="939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1028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939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during the fiscal years ended June 30, 2025 and June 30, 2024 amounted to $12,099 and $10,303, respectively.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of the U.S. federal statutory rate to the Company’s effective rate on (loss) income before (benefit) provision for income taxes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42"/>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380" w:type="dxa"/>
            <w:vAlign w:val="bottom"/>
            <w:gridSpan w:val="2"/>
          </w:tcPr>
          <w:p>
            <w:pPr>
              <w:jc w:val="right"/>
              <w:ind w:right="59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0" w:type="dxa"/>
            <w:vAlign w:val="bottom"/>
            <w:gridSpan w:val="2"/>
          </w:tcPr>
          <w:p>
            <w:pPr>
              <w:jc w:val="right"/>
              <w:ind w:right="61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36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Expected United States federal income tax at</w:t>
            </w:r>
          </w:p>
        </w:tc>
        <w:tc>
          <w:tcPr>
            <w:tcW w:w="1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r>
      <w:tr>
        <w:trPr>
          <w:trHeight w:val="23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rate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(107,884)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(27,233)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tax on foreign earnings</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1,946</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at different rates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Change in valuation allowance</w:t>
            </w:r>
            <w:r>
              <w:rPr>
                <w:rFonts w:ascii="Times New Roman" w:cs="Times New Roman" w:eastAsia="Times New Roman" w:hAnsi="Times New Roman"/>
                <w:sz w:val="24"/>
                <w:szCs w:val="24"/>
                <w:color w:val="auto"/>
                <w:vertAlign w:val="superscript"/>
              </w:rPr>
              <w:t>(a)</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28,757</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15,075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14,935</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36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Change in reserves for uncertain tax positions</w:t>
            </w:r>
            <w:r>
              <w:rPr>
                <w:rFonts w:ascii="Times New Roman" w:cs="Times New Roman" w:eastAsia="Times New Roman" w:hAnsi="Times New Roman"/>
                <w:sz w:val="24"/>
                <w:szCs w:val="24"/>
                <w:color w:val="auto"/>
                <w:vertAlign w:val="superscript"/>
              </w:rPr>
              <w:t>(b)</w:t>
            </w: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25,863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36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Impairment of goodwill and intangibles</w:t>
            </w:r>
            <w:r>
              <w:rPr>
                <w:rFonts w:ascii="Times New Roman" w:cs="Times New Roman" w:eastAsia="Times New Roman" w:hAnsi="Times New Roman"/>
                <w:sz w:val="24"/>
                <w:szCs w:val="24"/>
                <w:color w:val="auto"/>
                <w:vertAlign w:val="superscript"/>
              </w:rPr>
              <w:t>(c)</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77,615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subsidiary</w:t>
            </w:r>
          </w:p>
        </w:tc>
        <w:tc>
          <w:tcPr>
            <w:tcW w:w="18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945</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capital asset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1,004</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2,249</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9"/>
        </w:trPr>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15,297</w:t>
            </w:r>
          </w:p>
        </w:tc>
        <w:tc>
          <w:tcPr>
            <w:tcW w:w="12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(14,178)</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-25400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774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left="300" w:hanging="292"/>
        <w:spacing w:after="0" w:line="256" w:lineRule="auto"/>
        <w:tabs>
          <w:tab w:leader="none" w:pos="268"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estimated that it would not be able to utilize certain of its federal tax credit, federal tax losses and state tax loss carryovers due to its history of pretax losses and inability to carry back tax losses or credits for refunds. This negative evidence resulted in the Company increasing the valuation allowance on worldwide deferred tax assets in the year ended June 30, 2025 by $28,757, in the year ended June 30, 2024 by $15,075, and in the year ended June 30, 2023 by $14,935.</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recorded an unrecognized tax benefit that may not be fully supported under audit.</w:t>
      </w:r>
    </w:p>
    <w:p>
      <w:pPr>
        <w:spacing w:after="0" w:line="9" w:lineRule="exact"/>
        <w:rPr>
          <w:rFonts w:ascii="Times New Roman" w:cs="Times New Roman" w:eastAsia="Times New Roman" w:hAnsi="Times New Roman"/>
          <w:sz w:val="18"/>
          <w:szCs w:val="18"/>
          <w:i w:val="1"/>
          <w:iCs w:val="1"/>
          <w:color w:val="auto"/>
        </w:rPr>
      </w:pPr>
    </w:p>
    <w:p>
      <w:pPr>
        <w:ind w:left="300" w:hanging="292"/>
        <w:spacing w:after="0" w:line="260" w:lineRule="auto"/>
        <w:tabs>
          <w:tab w:leader="none" w:pos="254"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Company recorded impairments of goodwill and intangibles to certain IP and most of the goodwill impaired did not have a deferred tax liability associated with it. Therefore the impact of these impairments is recorded as an impact to the effective tax rate.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 federal tax regulations include a provision to tax global intangible low-taxed income (“GILTI”) of foreign subsidiaries and a measure to tax certain intercompany payments under the base erosion anti-abuse tax (“BEAT”) regime. For the fiscal years ended June 30, 2025, 2024 and 2023, the Company did not generate intercompany transactions that met the BEAT threshold but does have to include GILTI tax relating to the Company’s foreign subsidiaries.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GILTI tax as a current period cost and did not record an expense during the fiscal year ended June 30, 2025. The GILTI tax expense is included in the U.S. tax benefit on foreign earnings in the effective tax rate which also includes tax expense related to Subpart F income and unremitted earnings in total.</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for income tax purposes. Deferred tax assets and liabilities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70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2"/>
                <w:szCs w:val="12"/>
                <w:color w:val="auto"/>
              </w:rPr>
            </w:pPr>
          </w:p>
        </w:tc>
        <w:tc>
          <w:tcPr>
            <w:tcW w:w="114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deferred tax assets (liabilities):</w:t>
            </w:r>
          </w:p>
        </w:tc>
        <w:tc>
          <w:tcPr>
            <w:tcW w:w="2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Basis difference on inventory</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3,877</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4,884</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Reserves not currently deductible</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6,014</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8,386</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Basis difference on intangible assets</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(62,549)</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Basis difference on property and equipment</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(18,198)</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(14,946)</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 and tax credit carryforwards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74,121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67,186</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1,591</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Unremitted earnings of foreign subsidiaries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15,905</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18,615</w:t>
            </w:r>
          </w:p>
        </w:tc>
      </w:tr>
      <w:tr>
        <w:trPr>
          <w:trHeight w:val="216"/>
        </w:trPr>
        <w:tc>
          <w:tcPr>
            <w:tcW w:w="7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Lease ROU assets</w:t>
            </w:r>
          </w:p>
        </w:tc>
        <w:tc>
          <w:tcPr>
            <w:tcW w:w="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(17,309)</w:t>
            </w:r>
          </w:p>
        </w:tc>
      </w:tr>
      <w:tr>
        <w:trPr>
          <w:trHeight w:val="216"/>
        </w:trPr>
        <w:tc>
          <w:tcPr>
            <w:tcW w:w="7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18,879</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18,702</w:t>
            </w:r>
          </w:p>
        </w:tc>
      </w:tr>
      <w:tr>
        <w:trPr>
          <w:trHeight w:val="216"/>
        </w:trPr>
        <w:tc>
          <w:tcPr>
            <w:tcW w:w="77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Valuation allowances</w:t>
            </w:r>
          </w:p>
        </w:tc>
        <w:tc>
          <w:tcPr>
            <w:tcW w:w="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(96,383)</w:t>
            </w:r>
          </w:p>
        </w:tc>
        <w:tc>
          <w:tcPr>
            <w:tcW w:w="1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(67,626)</w:t>
            </w:r>
          </w:p>
        </w:tc>
      </w:tr>
      <w:tr>
        <w:trPr>
          <w:trHeight w:val="21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deferred tax liabilities, net</w:t>
            </w:r>
          </w:p>
        </w:tc>
        <w:tc>
          <w:tcPr>
            <w:tcW w:w="9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(40,332)</w:t>
            </w:r>
          </w:p>
        </w:tc>
        <w:tc>
          <w:tcPr>
            <w:tcW w:w="11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(47,826)</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2025 and 2024, the Company had U.S. federal NOL carryforwards of approximately $113,258 and $67,138, respectively, certain of which will not expire until 2033. Certain of these federal loss carryforwards are subject to Internal Revenue Code Section 382, which imposes limitations on utilization following certain changes in ownership of the entity generating the loss carryforward. The Company had foreign NOL carryforwards of approximately $14,815 and $9,035 at June 30, 2025 and 2024, respectively, the majority of which are indefinite lived.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June 30, 2025, the Company determined that $172,525 of foreign earnings are not permanently reinvested with a corresponding deferred tax liability of $3,980. The Company continues to reinvest $610,988 of undistributed earnings of its foreign subsidiaries and may be subject to additional foreign withholding taxes and U.S. state income taxes if it reverses its indefinite reinvestment assertion on these foreign earnings in the future. All other outside basis differences not related to earnings were impractical to account for at this period of time and are currently considered as being permanent in duration.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the authoritative guidance on accounting for income taxes, the Company evaluates the realizability of deferred tax assets on a jurisdictional basis at each reporting date.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are not more likely than not realizable, the Company establishes a valuation allowance. The Company recorded valuation allowances in the amounts of $96,383 and $67,626 at June 30,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valuation allowances against deferred income tax assets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6"/>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r>
      <w:tr>
        <w:trPr>
          <w:trHeight w:val="142"/>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5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67,626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52,551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18,998</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Reductions credited to income tax expense</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96,383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67,626</w:t>
            </w:r>
          </w:p>
        </w:tc>
      </w:tr>
      <w:tr>
        <w:trPr>
          <w:trHeight w:val="413"/>
        </w:trPr>
        <w:tc>
          <w:tcPr>
            <w:tcW w:w="6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Unrecognized tax benefits activity, including interest and penalties, is summarized below:</w:t>
            </w:r>
          </w:p>
        </w:tc>
        <w:tc>
          <w:tcPr>
            <w:tcW w:w="8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r>
        <w:trPr>
          <w:trHeight w:val="364"/>
        </w:trPr>
        <w:tc>
          <w:tcPr>
            <w:tcW w:w="6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1180" w:type="dxa"/>
            <w:vAlign w:val="bottom"/>
            <w:tcBorders>
              <w:bottom w:val="single" w:sz="8" w:color="auto"/>
            </w:tcBorders>
          </w:tcPr>
          <w:p>
            <w:pPr>
              <w:spacing w:after="0"/>
              <w:rPr>
                <w:sz w:val="24"/>
                <w:szCs w:val="24"/>
                <w:color w:val="auto"/>
              </w:rPr>
            </w:pPr>
          </w:p>
        </w:tc>
      </w:tr>
      <w:tr>
        <w:trPr>
          <w:trHeight w:val="142"/>
        </w:trPr>
        <w:tc>
          <w:tcPr>
            <w:tcW w:w="6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26,060</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23,967</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21,901</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1,519</w:t>
            </w:r>
          </w:p>
        </w:tc>
      </w:tr>
      <w:tr>
        <w:trPr>
          <w:trHeight w:val="216"/>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prior years</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815</w:t>
            </w:r>
          </w:p>
        </w:tc>
      </w:tr>
      <w:tr>
        <w:trPr>
          <w:trHeight w:val="216"/>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in statute of limitations and settlements</w:t>
            </w:r>
          </w:p>
        </w:tc>
        <w:tc>
          <w:tcPr>
            <w:tcW w:w="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6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51,923</w:t>
            </w:r>
          </w:p>
        </w:tc>
        <w:tc>
          <w:tcPr>
            <w:tcW w:w="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26,060</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23,967</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-1362075</wp:posOffset>
            </wp:positionV>
            <wp:extent cx="111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-1344930</wp:posOffset>
            </wp:positionV>
            <wp:extent cx="111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10287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9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2025, the Company had $51,923 of unrecognized tax benefits, of which $48,112 represents an amount that, if recognized, would impact the effective tax rate in future periods. As of June 30, 2024, the Company had $26,060 of unrecognized tax benefits, of which $22,249 represents the amount that, if recognized, would impact the effective tax rate in future periods. As of June 30, 2023, the Company had $23,967 of unrecognized tax benefits of which $20,155 would impact the effective income tax rate in future periods. Accrued liabilities for interest and penalties were $6,124 and $4,921 at June 30, 2025 and 2024, respectively.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file income tax returns in the U.S. federal jurisdiction, various U.S. state jurisdictions and several foreign jurisdictions. With few exceptions, the Company is no longer subject to U.S. federal, state and local, or non-U.S. income tax examinations by tax authorities for years prior to fiscal 2014. However, to the extent the Company generated NOLs or tax credits in closed tax years, future use of the NOL or tax credit carryforward balance would be subject to examination within the relevant statute of limitations for the year in which utilized. The Company is no longer subject to tax examinations in the U.K. for years prior to fiscal 2021. Given the uncertainty regarding when tax authorities will complete their examinations and the possible outcomes of their examinations, a current estimate of the range of reasonably possible significant increases or decreases of income tax that may occur within the next twelve months cannot be made. Although there are various tax audits currently ongoing, the Company does not believe the ultimate outcome of such audits will have a material impact on the Company’s consolidated financial statements.</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8540" w:firstLine="8"/>
        <w:spacing w:after="0" w:line="464" w:lineRule="auto"/>
        <w:tabs>
          <w:tab w:leader="none" w:pos="374"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Preferred Stock</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“blank check” preferred stock of up to 5,000 shares with such designations, rights and preferences as may be determined from time to time by the Board of Directors. Accordingly, the Board of Directors is empowered to issue, without stockholder approval, preferred stock with dividends, liquidation, conversion, voting or other rights which could decrease the amount of earnings and assets available for distribution to holders of the Company’s common stock. At June 30, 2025 and 2024, no preferred stock was issued or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(“AOCL”):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2"/>
                <w:szCs w:val="12"/>
                <w:color w:val="auto"/>
              </w:rPr>
            </w:pPr>
          </w:p>
        </w:tc>
        <w:tc>
          <w:tcPr>
            <w:tcW w:w="1140" w:type="dxa"/>
            <w:vAlign w:val="bottom"/>
            <w:gridSpan w:val="2"/>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20" w:type="dxa"/>
            <w:vAlign w:val="bottom"/>
          </w:tcPr>
          <w:p>
            <w:pPr>
              <w:spacing w:after="0"/>
              <w:rPr>
                <w:sz w:val="12"/>
                <w:szCs w:val="12"/>
                <w:color w:val="auto"/>
              </w:rPr>
            </w:pPr>
          </w:p>
        </w:tc>
        <w:tc>
          <w:tcPr>
            <w:tcW w:w="1100" w:type="dxa"/>
            <w:vAlign w:val="bottom"/>
            <w:gridSpan w:val="2"/>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(Losses) Gains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w w:val="94"/>
              </w:rPr>
              <w:t>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(168,225)</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2,724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(164,482)</w:t>
            </w: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30,197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44,316</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Amounts reclassified into (income) loss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0" w:type="dxa"/>
            <w:vAlign w:val="bottom"/>
          </w:tcPr>
          <w:p>
            <w:pPr>
              <w:spacing w:after="0"/>
              <w:rPr>
                <w:sz w:val="1"/>
                <w:szCs w:val="1"/>
                <w:color w:val="auto"/>
              </w:rPr>
            </w:pPr>
          </w:p>
        </w:tc>
      </w:tr>
      <w:tr>
        <w:trPr>
          <w:trHeight w:val="171"/>
        </w:trPr>
        <w:tc>
          <w:tcPr>
            <w:tcW w:w="51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Net change in accumulated other comprehensive income (loss) for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the fiscal year ended June 30, 2023</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30,197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10,379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38,266</w:t>
            </w:r>
          </w:p>
        </w:tc>
        <w:tc>
          <w:tcPr>
            <w:tcW w:w="0" w:type="dxa"/>
            <w:vAlign w:val="bottom"/>
          </w:tcPr>
          <w:p>
            <w:pPr>
              <w:spacing w:after="0"/>
              <w:rPr>
                <w:sz w:val="1"/>
                <w:szCs w:val="1"/>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(138,028)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10,898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(126,216)</w:t>
            </w: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5,545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Amounts reclassified into income</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0" w:type="dxa"/>
            <w:vAlign w:val="bottom"/>
          </w:tcPr>
          <w:p>
            <w:pPr>
              <w:spacing w:after="0"/>
              <w:rPr>
                <w:sz w:val="1"/>
                <w:szCs w:val="1"/>
                <w:color w:val="auto"/>
              </w:rPr>
            </w:pPr>
          </w:p>
        </w:tc>
      </w:tr>
      <w:tr>
        <w:trPr>
          <w:trHeight w:val="171"/>
        </w:trPr>
        <w:tc>
          <w:tcPr>
            <w:tcW w:w="51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Net change in accumulated other comprehensive loss for the fiscal</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year ended June 30, 2024</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(147,073)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9,395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(137,245)</w:t>
            </w:r>
          </w:p>
        </w:tc>
        <w:tc>
          <w:tcPr>
            <w:tcW w:w="0" w:type="dxa"/>
            <w:vAlign w:val="bottom"/>
          </w:tcPr>
          <w:p>
            <w:pPr>
              <w:spacing w:after="0"/>
              <w:rPr>
                <w:sz w:val="1"/>
                <w:szCs w:val="1"/>
                <w:color w:val="auto"/>
              </w:rPr>
            </w:pPr>
          </w:p>
        </w:tc>
      </w:tr>
      <w:tr>
        <w:trPr>
          <w:trHeight w:val="216"/>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20" w:type="dxa"/>
            <w:vAlign w:val="bottom"/>
          </w:tcPr>
          <w:p>
            <w:pPr>
              <w:spacing w:after="0"/>
              <w:rPr>
                <w:sz w:val="18"/>
                <w:szCs w:val="18"/>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71,324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60,980</w:t>
            </w:r>
          </w:p>
        </w:tc>
        <w:tc>
          <w:tcPr>
            <w:tcW w:w="0" w:type="dxa"/>
            <w:vAlign w:val="bottom"/>
          </w:tcPr>
          <w:p>
            <w:pPr>
              <w:spacing w:after="0"/>
              <w:rPr>
                <w:sz w:val="1"/>
                <w:szCs w:val="1"/>
                <w:color w:val="auto"/>
              </w:rPr>
            </w:pPr>
          </w:p>
        </w:tc>
      </w:tr>
      <w:tr>
        <w:trPr>
          <w:trHeight w:val="216"/>
        </w:trPr>
        <w:tc>
          <w:tcPr>
            <w:tcW w:w="51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Amounts reclassified into (income) loss</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0" w:type="dxa"/>
            <w:vAlign w:val="bottom"/>
          </w:tcPr>
          <w:p>
            <w:pPr>
              <w:spacing w:after="0"/>
              <w:rPr>
                <w:sz w:val="1"/>
                <w:szCs w:val="1"/>
                <w:color w:val="auto"/>
              </w:rPr>
            </w:pPr>
          </w:p>
        </w:tc>
      </w:tr>
      <w:tr>
        <w:trPr>
          <w:trHeight w:val="171"/>
        </w:trPr>
        <w:tc>
          <w:tcPr>
            <w:tcW w:w="516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Net change in accumulated other comprehensive income (loss) for</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the fiscal year ended June 30, 2025</w:t>
            </w:r>
            <w:r>
              <w:rPr>
                <w:rFonts w:ascii="Times New Roman" w:cs="Times New Roman" w:eastAsia="Times New Roman" w:hAnsi="Times New Roman"/>
                <w:sz w:val="24"/>
                <w:szCs w:val="24"/>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71,324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56,192</w:t>
            </w:r>
          </w:p>
        </w:tc>
        <w:tc>
          <w:tcPr>
            <w:tcW w:w="0" w:type="dxa"/>
            <w:vAlign w:val="bottom"/>
          </w:tcPr>
          <w:p>
            <w:pPr>
              <w:spacing w:after="0"/>
              <w:rPr>
                <w:sz w:val="1"/>
                <w:szCs w:val="1"/>
                <w:color w:val="auto"/>
              </w:rPr>
            </w:pPr>
          </w:p>
        </w:tc>
      </w:tr>
      <w:tr>
        <w:trPr>
          <w:trHeight w:val="22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2,583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(8,071)</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(81,053)</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-1833880</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-1833880</wp:posOffset>
            </wp:positionV>
            <wp:extent cx="7747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-1833880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-1833880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-1139190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-1139190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-1139190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-1139190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-445135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-445135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-445135</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-445135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7683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768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-25400</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-8255</wp:posOffset>
            </wp:positionV>
            <wp:extent cx="774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ind w:left="760" w:hanging="752"/>
        <w:spacing w:after="0" w:line="284" w:lineRule="auto"/>
        <w:tabs>
          <w:tab w:leader="none" w:pos="7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Note 17, Derivatives and Hedging Activities, for the amounts reclassified into income (expense) for deferred gains (losses) on hedging instruments recorded in the consolidated statements of operations during the fiscal years ended June 30, 2025, 2024, and 2023.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January 2022, the Company’s Board of Directors authorized the repurchase of up to $200.0 million of the Company’s issued and outstanding common stock. Repurchases may be made from time to time in the open market, pursuant to pre-set trading plans, in private transactions or otherwise. The current 2022 authorization does not have a stated expiration date. The extent to which the Company repurchases its shares and the timing of such repurchases will depend upon market conditions and other corporate considerations. During the fiscal year ended June 30, 2025, the Company did not repurchase any shares under the repurchase program. As of June 30, 2025, the Company had $173.5 million of remaining authorization under the share repurchase program.</w:t>
      </w:r>
    </w:p>
    <w:p>
      <w:pPr>
        <w:spacing w:after="0" w:line="1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 AND INCENTIVE PERFORMANCE PLANS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shareholder-approved plan, The Hain Celestial Group, Inc. 2022 Long Term Incentive and Stock Award Plan (as amended, the “2022 Plan”), which was approved at the Company’s 2022 Annual Meeting of Shareholders held on November 17, 2022, and further amended at the Company’s 2024 Annual Meeting of Shareholders held on October 31, 2024. The 2022 Plan permits the Company to continue making equity-based and other incentive awards in a manner intended to properly incentivize its employees, directors, consultants and other service providers by aligning their interests with the interests of the</w:t>
      </w: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Company’s shareholders. The 2022 Plan is administered by the Compensation Committee of the Company’s Board of Directors. The Company also historically granted shares under its Amended and Restated 2002 Long-Term Incentive and Stock Award Plan and its 2019 Equity Inducement Award Program.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fiscal 2025, a new form of awards was granted to employees that can be settled in cash or stock, at the Company’s discretion.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awards are accounted for as liability-based equity awards since the Company has the ability and intent to settle such awards in cash.</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 Activity During Past Three Years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awards are generally issued in the form of restricted share units (“RSUs”), which are service-based awards, and performance share units (“PSUs”) that are subject to the achievement of minimum market conditions or performance goals. RSU awards to employees generally provide for vesting in equal annual installments over a period of three years, with different vesting periods in certain cases. RSU awards to non-employee directors generally provide for a vesting period of one year. For PSU awards, the following share figures are stated at target levels, and the awards outstanding as of June 30, 2025 generally provide for vesting at 0% to 150% or 200% of the target level. Awards of PSUs and RSUs are issued at no cost to the recipient. A summary of all stock-based award activity for the twelve months ended June 30, 2025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5"/>
                <w:szCs w:val="15"/>
                <w:color w:val="auto"/>
              </w:rPr>
            </w:pPr>
          </w:p>
        </w:tc>
        <w:tc>
          <w:tcPr>
            <w:tcW w:w="16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80" w:type="dxa"/>
            <w:vAlign w:val="bottom"/>
          </w:tcPr>
          <w:p>
            <w:pPr>
              <w:spacing w:after="0"/>
              <w:rPr>
                <w:sz w:val="15"/>
                <w:szCs w:val="15"/>
                <w:color w:val="auto"/>
              </w:rPr>
            </w:pPr>
          </w:p>
        </w:tc>
        <w:tc>
          <w:tcPr>
            <w:tcW w:w="14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60" w:type="dxa"/>
            <w:vAlign w:val="bottom"/>
            <w:vMerge w:val="restart"/>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2"/>
                <w:szCs w:val="12"/>
                <w:color w:val="auto"/>
              </w:rPr>
            </w:pPr>
          </w:p>
        </w:tc>
        <w:tc>
          <w:tcPr>
            <w:tcW w:w="128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100" w:type="dxa"/>
            <w:vAlign w:val="bottom"/>
          </w:tcPr>
          <w:p>
            <w:pPr>
              <w:spacing w:after="0"/>
              <w:rPr>
                <w:sz w:val="12"/>
                <w:szCs w:val="12"/>
                <w:color w:val="auto"/>
              </w:rPr>
            </w:pPr>
          </w:p>
        </w:tc>
        <w:tc>
          <w:tcPr>
            <w:tcW w:w="106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16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128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106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11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and Units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2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and Units</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and Units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91"/>
        </w:trPr>
        <w:tc>
          <w:tcPr>
            <w:tcW w:w="35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Non-vested at beginning of period - RSUs and</w:t>
            </w: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PSUs</w:t>
            </w:r>
          </w:p>
        </w:tc>
        <w:tc>
          <w:tcPr>
            <w:tcW w:w="1160" w:type="dxa"/>
            <w:vAlign w:val="bottom"/>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2,165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c>
          <w:tcPr>
            <w:tcW w:w="1380" w:type="dxa"/>
            <w:vAlign w:val="bottom"/>
            <w:gridSpan w:val="2"/>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1,288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790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2,278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6.94</w:t>
            </w:r>
          </w:p>
        </w:tc>
        <w:tc>
          <w:tcPr>
            <w:tcW w:w="13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1,768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11.83</w:t>
            </w: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20.34</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27.38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19.13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31.92</w:t>
            </w:r>
          </w:p>
        </w:tc>
        <w:tc>
          <w:tcPr>
            <w:tcW w:w="0" w:type="dxa"/>
            <w:vAlign w:val="bottom"/>
          </w:tcPr>
          <w:p>
            <w:pPr>
              <w:spacing w:after="0"/>
              <w:rPr>
                <w:sz w:val="1"/>
                <w:szCs w:val="1"/>
                <w:color w:val="auto"/>
              </w:rPr>
            </w:pPr>
          </w:p>
        </w:tc>
      </w:tr>
      <w:tr>
        <w:trPr>
          <w:trHeight w:val="249"/>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end of period - RSUs and PSUs</w:t>
            </w:r>
          </w:p>
        </w:tc>
        <w:tc>
          <w:tcPr>
            <w:tcW w:w="1160" w:type="dxa"/>
            <w:vAlign w:val="bottom"/>
            <w:tcBorders>
              <w:bottom w:val="single" w:sz="8" w:color="auto"/>
            </w:tcBorders>
            <w:shd w:val="clear" w:color="auto" w:fill="CFF0FC"/>
          </w:tcPr>
          <w:p>
            <w:pPr>
              <w:jc w:val="right"/>
              <w:ind w:right="18"/>
              <w:spacing w:after="0"/>
              <w:rPr>
                <w:sz w:val="20"/>
                <w:szCs w:val="20"/>
                <w:color w:val="auto"/>
              </w:rPr>
            </w:pPr>
            <w:r>
              <w:rPr>
                <w:rFonts w:ascii="Times New Roman" w:cs="Times New Roman" w:eastAsia="Times New Roman" w:hAnsi="Times New Roman"/>
                <w:sz w:val="18"/>
                <w:szCs w:val="18"/>
                <w:color w:val="auto"/>
              </w:rPr>
              <w:t>2,627</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2,165</w:t>
            </w:r>
          </w:p>
        </w:tc>
        <w:tc>
          <w:tcPr>
            <w:tcW w:w="2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1,288</w:t>
            </w:r>
          </w:p>
        </w:tc>
        <w:tc>
          <w:tcPr>
            <w:tcW w:w="2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FF0FC"/>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-25400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-8255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fair value of RSUs and PSUs granted and of shares vested, and the tax benefit recognized from restricted shares vesting, for the last three fiscal years ended June 30 was as follows:</w:t>
      </w:r>
    </w:p>
    <w:tbl>
      <w:tblPr>
        <w:tblLayout w:type="fixed"/>
        <w:tblInd w:w="0" w:type="dxa"/>
        <w:tblCellMar>
          <w:top w:w="0" w:type="dxa"/>
          <w:left w:w="0" w:type="dxa"/>
          <w:bottom w:w="0" w:type="dxa"/>
          <w:right w:w="0" w:type="dxa"/>
        </w:tblCellMar>
      </w:tblPr>
      <w:tr>
        <w:trPr>
          <w:trHeight w:val="156"/>
        </w:trPr>
        <w:tc>
          <w:tcPr>
            <w:tcW w:w="5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5"/>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42"/>
        </w:trPr>
        <w:tc>
          <w:tcPr>
            <w:tcW w:w="5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RSUs and PSUs granted</w:t>
            </w:r>
          </w:p>
        </w:tc>
        <w:tc>
          <w:tcPr>
            <w:tcW w:w="22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20,726</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25,258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RSUs and PSUs vested</w:t>
            </w:r>
          </w:p>
        </w:tc>
        <w:tc>
          <w:tcPr>
            <w:tcW w:w="22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5,545</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4,684</w:t>
            </w: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benefit recognized from RSUs and PSUs vesting</w:t>
            </w:r>
          </w:p>
        </w:tc>
        <w:tc>
          <w:tcPr>
            <w:tcW w:w="22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631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2025, $11,241 of unrecognized stock-based compensation expense related to non-vested RSUs and PSUs was expected to be recognized over a weighted average period of approximately 0.99 years.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Cash-Settled Award Activity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cash-settled awards that are either service-based or subject to the achievement of minimum market conditions or performance goals. Service-based cash awards generally provide for vesting in equal annual installments over a period of three years, with different vesting periods in certain cases. For cash awards tied to minimum market conditions or performance goals, award amounts are stated at target levels with vesting at 0% to 150% of the target level depending on conditions or performance. Cash-based awards are issued at no cost to the recipient.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these cash-settled awards is measured at each reporting period until the awards are settled. The performance-based cash-settled award liability at June 30, 2025 was recorded ratably based on the Company’s projected achievement at the end of the measurement period. The cash incentive award liability was $697 at June 30, 2025, $622 of which is classified as a current liability and reported in accrued expenses and other current liabilities, and the balance included in other non-current liabilities within the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 estimated fair value of granted cash-settled awards was $4,749. For the reporting period, the Company recognized a forfeiture adjustment of $1,152. As of June 30, 2025, the total remaining non-vested cash-settled awards outstanding was $3,597.</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Incentive Program</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conjunction with the Stock Award Plans, the Company maintains a long-term incentive program (“LTIP”) that provides for equity awards, including market-based PSUs that can be earned over defined performance periods. The participants of the LTIP include certain of the Company’s executive officers and other key executives. The LTIP is administered by the Compensation and Talent Management Committee, which is responsible for, among other items, selecting the specific performance measures for awards, setting the target performance required to receive an award after the completion of the performance period, and determining the specific payout to the participants.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RSUs, the Company uses the fair market value of the Company’s common stock on the grant date to measure fair value for service-based awards and for market-based PSUs, the Company uses a Monte Carlo simulation model to determine the fair value of those awards granted under the LTIP. The fair value of RSUs and PSUs is then used to record stock-based compensation expense. The use of the Monte Carlo simulation model requires the Company to make estimates and assumptions and therefore, the Company has included additional information regarding the terms of the PSUs granted and the inputs into the Monte Carlo simulation model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2025-2027 LTIP</w:t>
      </w:r>
    </w:p>
    <w:p>
      <w:pPr>
        <w:spacing w:after="0" w:line="20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 ended June 30, 2025, the Company granted market-based PSU awards under the LTIP with a total target payout of 652 shares of common stock. At June 30, 2025, there were 476 such shares outstanding under the LTIP. Such PSU awards will vest, if at all, pursuant to a defined calculation of relative total shareholder return (“TSR”) over the period from October 29, 2024 through the earlier of: (i) October 28, 2027; (ii) the date the participant’s employment is terminated due to death or Disability (as defined in the award agreement); or (iii) the effective date of a Change in Control (as defined in the award agreement) (the “2025 TSR Performance Period”). Total shares eligible to vest range from zero to 150% of the target amount. Grant date fair values are calculated using a Monte Carlo simulation model with grant date fair values per target share and related valuation assumptions as follows:</w:t>
      </w:r>
    </w:p>
    <w:tbl>
      <w:tblPr>
        <w:tblLayout w:type="fixed"/>
        <w:tblInd w:w="0" w:type="dxa"/>
        <w:tblCellMar>
          <w:top w:w="0" w:type="dxa"/>
          <w:left w:w="0" w:type="dxa"/>
          <w:bottom w:w="0" w:type="dxa"/>
          <w:right w:w="0" w:type="dxa"/>
        </w:tblCellMar>
      </w:tblPr>
      <w:tr>
        <w:trPr>
          <w:trHeight w:val="133"/>
        </w:trPr>
        <w:tc>
          <w:tcPr>
            <w:tcW w:w="9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jc w:val="right"/>
              <w:ind w:right="776"/>
              <w:spacing w:after="0" w:line="133" w:lineRule="exact"/>
              <w:rPr>
                <w:sz w:val="20"/>
                <w:szCs w:val="20"/>
                <w:color w:val="auto"/>
              </w:rPr>
            </w:pPr>
            <w:r>
              <w:rPr>
                <w:rFonts w:ascii="Times New Roman" w:cs="Times New Roman" w:eastAsia="Times New Roman" w:hAnsi="Times New Roman"/>
                <w:sz w:val="14"/>
                <w:szCs w:val="14"/>
                <w:b w:val="1"/>
                <w:bCs w:val="1"/>
                <w:color w:val="auto"/>
              </w:rPr>
              <w:t>Relative</w:t>
            </w:r>
          </w:p>
        </w:tc>
      </w:tr>
      <w:tr>
        <w:trPr>
          <w:trHeight w:val="173"/>
        </w:trPr>
        <w:tc>
          <w:tcPr>
            <w:tcW w:w="9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TSR PSUs</w:t>
            </w:r>
          </w:p>
        </w:tc>
      </w:tr>
      <w:tr>
        <w:trPr>
          <w:trHeight w:val="21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target share)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9.89</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16"/>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w:t>
            </w:r>
          </w:p>
        </w:tc>
      </w:tr>
      <w:tr>
        <w:trPr>
          <w:trHeight w:val="234"/>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60" w:type="dxa"/>
            <w:vAlign w:val="bottom"/>
          </w:tcPr>
          <w:p>
            <w:pPr>
              <w:spacing w:after="0"/>
              <w:rPr>
                <w:sz w:val="20"/>
                <w:szCs w:val="20"/>
                <w:color w:val="auto"/>
              </w:rPr>
            </w:pPr>
          </w:p>
        </w:tc>
        <w:tc>
          <w:tcPr>
            <w:tcW w:w="17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3.00 years</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2024-2026 LTIP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fiscal year ended June 30, 2024, the Company granted market-based PSU awards under the LTIP with a total target payout of 618 shares of common stock. At June 30, 2025, there were 556 such shares outstanding under the LTIP. Such PSU awards will vest, if at all, pursuant to a defined calculation of either relative TSR or absolute TSR (as defined in the award agreement) over the period from October 26, 2023 through the earlier of: (i) October 25, 2026; (ii) the date the participant’s employment is terminated due to death or Disability (as defined in the award agreement); or (iii) the effective date of a Change in Control (as defined in the award agreement) (the “2024 TSR Performance Period”). Vesting of 370 target shares of the outstanding PSU awards is pursuant to a defined calculation of relative TSR over the 2024 TSR Performance Period (the “2024 Relative TSR PSUs”). Vesting of 185 target shares of the outstanding PSU awards is pursuant to the achievement of pre-established three-year compound annual TSR targets over the 2024 TSR Performance Period (the “2024 Absolute TSR PSUs”).</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Total shares eligible to vest for both the 2024 Relative TSR PSUs and 2024 Absolute TSR PSUs range from zero to 200% of the target amount. Grant date fair values are calculated using a Monte Carlo simulation model with grant date fair values per target share and related valuation assumptions as follows:</w:t>
      </w:r>
    </w:p>
    <w:tbl>
      <w:tblPr>
        <w:tblLayout w:type="fixed"/>
        <w:tblInd w:w="0" w:type="dxa"/>
        <w:tblCellMar>
          <w:top w:w="0" w:type="dxa"/>
          <w:left w:w="0" w:type="dxa"/>
          <w:bottom w:w="0" w:type="dxa"/>
          <w:right w:w="0" w:type="dxa"/>
        </w:tblCellMar>
      </w:tblPr>
      <w:tr>
        <w:trPr>
          <w:trHeight w:val="156"/>
        </w:trPr>
        <w:tc>
          <w:tcPr>
            <w:tcW w:w="7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4"/>
          </w:tcPr>
          <w:p>
            <w:pPr>
              <w:jc w:val="right"/>
              <w:ind w:right="837"/>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June 30, 2025</w:t>
            </w:r>
          </w:p>
        </w:tc>
      </w:tr>
      <w:tr>
        <w:trPr>
          <w:trHeight w:val="117"/>
        </w:trPr>
        <w:tc>
          <w:tcPr>
            <w:tcW w:w="7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598"/>
              <w:spacing w:after="0" w:line="118" w:lineRule="exact"/>
              <w:rPr>
                <w:sz w:val="20"/>
                <w:szCs w:val="20"/>
                <w:color w:val="auto"/>
              </w:rPr>
            </w:pPr>
            <w:r>
              <w:rPr>
                <w:rFonts w:ascii="Times New Roman" w:cs="Times New Roman" w:eastAsia="Times New Roman" w:hAnsi="Times New Roman"/>
                <w:sz w:val="13"/>
                <w:szCs w:val="13"/>
                <w:b w:val="1"/>
                <w:bCs w:val="1"/>
                <w:color w:val="auto"/>
              </w:rPr>
              <w:t>Absolute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617"/>
              <w:spacing w:after="0" w:line="118" w:lineRule="exact"/>
              <w:rPr>
                <w:sz w:val="20"/>
                <w:szCs w:val="20"/>
                <w:color w:val="auto"/>
              </w:rPr>
            </w:pPr>
            <w:r>
              <w:rPr>
                <w:rFonts w:ascii="Times New Roman" w:cs="Times New Roman" w:eastAsia="Times New Roman" w:hAnsi="Times New Roman"/>
                <w:sz w:val="13"/>
                <w:szCs w:val="13"/>
                <w:b w:val="1"/>
                <w:bCs w:val="1"/>
                <w:color w:val="auto"/>
              </w:rPr>
              <w:t>Relative</w:t>
            </w:r>
          </w:p>
        </w:tc>
      </w:tr>
      <w:tr>
        <w:trPr>
          <w:trHeight w:val="173"/>
        </w:trPr>
        <w:tc>
          <w:tcPr>
            <w:tcW w:w="7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TSR PSUs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TSR PSUs</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target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tcPr>
          <w:p>
            <w:pPr>
              <w:spacing w:after="0"/>
              <w:rPr>
                <w:sz w:val="20"/>
                <w:szCs w:val="20"/>
                <w:color w:val="auto"/>
              </w:rPr>
            </w:pPr>
          </w:p>
        </w:tc>
        <w:tc>
          <w:tcPr>
            <w:tcW w:w="14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3.00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3.00 years</w:t>
            </w:r>
          </w:p>
        </w:tc>
      </w:tr>
    </w:tbl>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2023-2025 LTIP</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During the fiscal year ended June 30, 2023, the Company granted market-based PSU awards under the LTIP with a total target payout of 429 shares of common stock. At June 30, 2024, 249 of such shares were outstanding. Such PSU awards will vest, if at all, pursuant to a defined calculation of either relative TSR or absolute TSR (as defined in the award agreement) over the period from September 6, 2022 through the earlier of: (i) September 6, 2025; (ii) the date the participant’s employment is terminated due to death or Disability (as defined in the award agreement); or (iii) the effective date of a Change in Control (as defined in the award agreement) (the “2023 TSR Performance Period”). Vesting of 167 target shares of the outstanding PSU awards is pursuant to a defined calculation of relative TSR over the 2023 TSR Performance Period (the “2023 Relative TSR PSUs”). Vesting of 82 target shares of the outstanding PSU awards is pursuant to the achievement of pre-established three-year compound annual TSR targets over the 2023 TSR Performance Period (the “2023 Absolute TSR PSUs”). Total shares eligible to vest for both the 2023 Relative TSR PSUs and 2023 Absolute TSR PSUs range from zero to 200% of the target amount. Grant date fair values are calculated using a Monte Carlo simulation model with grant date fair values per target share and related valuation assumptions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4"/>
          </w:tcPr>
          <w:p>
            <w:pPr>
              <w:jc w:val="right"/>
              <w:ind w:right="837"/>
              <w:spacing w:after="0"/>
              <w:rPr>
                <w:sz w:val="20"/>
                <w:szCs w:val="20"/>
                <w:color w:val="auto"/>
              </w:rPr>
            </w:pPr>
            <w:r>
              <w:rPr>
                <w:rFonts w:ascii="Times New Roman" w:cs="Times New Roman" w:eastAsia="Times New Roman" w:hAnsi="Times New Roman"/>
                <w:sz w:val="14"/>
                <w:szCs w:val="14"/>
                <w:b w:val="1"/>
                <w:bCs w:val="1"/>
                <w:color w:val="auto"/>
              </w:rPr>
              <w:t>Fiscal Year ended June 30, 2024</w:t>
            </w:r>
          </w:p>
        </w:tc>
      </w:tr>
      <w:tr>
        <w:trPr>
          <w:trHeight w:val="117"/>
        </w:trPr>
        <w:tc>
          <w:tcPr>
            <w:tcW w:w="7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598"/>
              <w:spacing w:after="0" w:line="118" w:lineRule="exact"/>
              <w:rPr>
                <w:sz w:val="20"/>
                <w:szCs w:val="20"/>
                <w:color w:val="auto"/>
              </w:rPr>
            </w:pPr>
            <w:r>
              <w:rPr>
                <w:rFonts w:ascii="Times New Roman" w:cs="Times New Roman" w:eastAsia="Times New Roman" w:hAnsi="Times New Roman"/>
                <w:sz w:val="13"/>
                <w:szCs w:val="13"/>
                <w:b w:val="1"/>
                <w:bCs w:val="1"/>
                <w:color w:val="auto"/>
              </w:rPr>
              <w:t>Absolute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617"/>
              <w:spacing w:after="0" w:line="118" w:lineRule="exact"/>
              <w:rPr>
                <w:sz w:val="20"/>
                <w:szCs w:val="20"/>
                <w:color w:val="auto"/>
              </w:rPr>
            </w:pPr>
            <w:r>
              <w:rPr>
                <w:rFonts w:ascii="Times New Roman" w:cs="Times New Roman" w:eastAsia="Times New Roman" w:hAnsi="Times New Roman"/>
                <w:sz w:val="13"/>
                <w:szCs w:val="13"/>
                <w:b w:val="1"/>
                <w:bCs w:val="1"/>
                <w:color w:val="auto"/>
              </w:rPr>
              <w:t>Relative</w:t>
            </w:r>
          </w:p>
        </w:tc>
      </w:tr>
      <w:tr>
        <w:trPr>
          <w:trHeight w:val="173"/>
        </w:trPr>
        <w:tc>
          <w:tcPr>
            <w:tcW w:w="7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TSR PSUs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TSR PSUs</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target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15.42</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tcPr>
          <w:p>
            <w:pPr>
              <w:spacing w:after="0"/>
              <w:rPr>
                <w:sz w:val="20"/>
                <w:szCs w:val="20"/>
                <w:color w:val="auto"/>
              </w:rPr>
            </w:pPr>
          </w:p>
        </w:tc>
        <w:tc>
          <w:tcPr>
            <w:tcW w:w="14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3.00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3.00 years</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2022-2024 LTIP</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fiscal year ended June 30, 2022, the Company granted market-based PSU awards under the LTIP with a total target payout of 193 shares of common stock. At June 30, 2024, 44 of such shares were outstanding. Vesting is pursuant to a defined calculation of either relative TSR or absolute TSR (as defined in the award agreement) over the period from November 18, 2021 through the earlier of: (i) November 17, 2024; (ii) the date the participant’s employment is terminated due to death or Disability (as defined in the award agreement); or (iii) the effective date of a Change in Control (as defined in the award agreement) (the “2022 TSR Performance Period”). Vesting of 29 target shares of the outstanding PSU awards is pursuant to a defined calculation of relative TSR over the 2022 TSR Performance Period (the “2022 Relative TSR PSUs”). Vesting of 15 target shares of the outstanding PSU awards is pursuant to the achievement of pre-established three-year compound annual TSR targets over the 2022 TSR Performance Period (the “2022 Absolute TSR PSUs”). Total shares eligible to vest for both the 2022 Relative TSR PSUs and 2022 Absolute TSR PSUs range from 0% to 200% of the target amount.</w:t>
      </w:r>
    </w:p>
    <w:p>
      <w:pPr>
        <w:spacing w:after="0" w:line="1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Grant date fair values are calculated using a Monte Carlo simulation model with weighted average grant date fair values per target share and related valuation assumptions as follows:</w:t>
      </w:r>
    </w:p>
    <w:tbl>
      <w:tblPr>
        <w:tblLayout w:type="fixed"/>
        <w:tblInd w:w="0" w:type="dxa"/>
        <w:tblCellMar>
          <w:top w:w="0" w:type="dxa"/>
          <w:left w:w="0" w:type="dxa"/>
          <w:bottom w:w="0" w:type="dxa"/>
          <w:right w:w="0" w:type="dxa"/>
        </w:tblCellMar>
      </w:tblPr>
      <w:tr>
        <w:trPr>
          <w:trHeight w:val="156"/>
        </w:trPr>
        <w:tc>
          <w:tcPr>
            <w:tcW w:w="414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4"/>
          </w:tcPr>
          <w:p>
            <w:pPr>
              <w:jc w:val="right"/>
              <w:ind w:right="837"/>
              <w:spacing w:after="0" w:line="155" w:lineRule="exact"/>
              <w:rPr>
                <w:sz w:val="20"/>
                <w:szCs w:val="20"/>
                <w:color w:val="auto"/>
              </w:rPr>
            </w:pPr>
            <w:r>
              <w:rPr>
                <w:rFonts w:ascii="Times New Roman" w:cs="Times New Roman" w:eastAsia="Times New Roman" w:hAnsi="Times New Roman"/>
                <w:sz w:val="14"/>
                <w:szCs w:val="14"/>
                <w:b w:val="1"/>
                <w:bCs w:val="1"/>
                <w:color w:val="auto"/>
              </w:rPr>
              <w:t>Fiscal Year ended June 30, 2023</w:t>
            </w:r>
          </w:p>
        </w:tc>
      </w:tr>
      <w:tr>
        <w:trPr>
          <w:trHeight w:val="117"/>
        </w:trPr>
        <w:tc>
          <w:tcPr>
            <w:tcW w:w="41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598"/>
              <w:spacing w:after="0" w:line="118" w:lineRule="exact"/>
              <w:rPr>
                <w:sz w:val="20"/>
                <w:szCs w:val="20"/>
                <w:color w:val="auto"/>
              </w:rPr>
            </w:pPr>
            <w:r>
              <w:rPr>
                <w:rFonts w:ascii="Times New Roman" w:cs="Times New Roman" w:eastAsia="Times New Roman" w:hAnsi="Times New Roman"/>
                <w:sz w:val="13"/>
                <w:szCs w:val="13"/>
                <w:b w:val="1"/>
                <w:bCs w:val="1"/>
                <w:color w:val="auto"/>
              </w:rPr>
              <w:t>Absolute</w:t>
            </w: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Pr>
          <w:p>
            <w:pPr>
              <w:jc w:val="right"/>
              <w:ind w:right="617"/>
              <w:spacing w:after="0" w:line="118" w:lineRule="exact"/>
              <w:rPr>
                <w:sz w:val="20"/>
                <w:szCs w:val="20"/>
                <w:color w:val="auto"/>
              </w:rPr>
            </w:pPr>
            <w:r>
              <w:rPr>
                <w:rFonts w:ascii="Times New Roman" w:cs="Times New Roman" w:eastAsia="Times New Roman" w:hAnsi="Times New Roman"/>
                <w:sz w:val="13"/>
                <w:szCs w:val="13"/>
                <w:b w:val="1"/>
                <w:bCs w:val="1"/>
                <w:color w:val="auto"/>
              </w:rPr>
              <w:t>Relative</w:t>
            </w:r>
          </w:p>
        </w:tc>
      </w:tr>
      <w:tr>
        <w:trPr>
          <w:trHeight w:val="173"/>
        </w:trPr>
        <w:tc>
          <w:tcPr>
            <w:tcW w:w="41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TSR PSUs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TSR PSUs</w:t>
            </w: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target share)</w:t>
            </w:r>
          </w:p>
        </w:tc>
        <w:tc>
          <w:tcPr>
            <w:tcW w:w="3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118"/>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7"/>
              <w:spacing w:after="0"/>
              <w:rPr>
                <w:sz w:val="20"/>
                <w:szCs w:val="20"/>
                <w:color w:val="auto"/>
              </w:rPr>
            </w:pPr>
            <w:r>
              <w:rPr>
                <w:rFonts w:ascii="Times New Roman" w:cs="Times New Roman" w:eastAsia="Times New Roman" w:hAnsi="Times New Roman"/>
                <w:sz w:val="18"/>
                <w:szCs w:val="18"/>
                <w:color w:val="auto"/>
              </w:rPr>
              <w:t>27.47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3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3.00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3.00 years</w:t>
            </w:r>
          </w:p>
        </w:tc>
      </w:tr>
      <w:tr>
        <w:trPr>
          <w:trHeight w:val="940"/>
        </w:trPr>
        <w:tc>
          <w:tcPr>
            <w:tcW w:w="4140" w:type="dxa"/>
            <w:vAlign w:val="bottom"/>
          </w:tcPr>
          <w:p>
            <w:pPr>
              <w:spacing w:after="0"/>
              <w:rPr>
                <w:sz w:val="24"/>
                <w:szCs w:val="24"/>
                <w:color w:val="auto"/>
              </w:rPr>
            </w:pPr>
          </w:p>
        </w:tc>
        <w:tc>
          <w:tcPr>
            <w:tcW w:w="348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58"/>
        </w:trPr>
        <w:tc>
          <w:tcPr>
            <w:tcW w:w="41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Succession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22, 2022, the Board approved a succession plan pursuant to which Mark L. Schiller, the Company’s former CEO, transitioned from his position as President and Chief Executive Officer of the Company effective as of December 31, 2022, and Wendy P. Davidson was appointed to the role of President and Chief Executive Officer and as a director on the Board, in each case effective as of January 1, 2023. As of December 31, 2022, certain of Mr. Schiller’s stock-based compensation awards were modified and others were forfeited.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 2023, Ms. Davidson received the following awards under the 2023 - 2025 LTIP: 36 Relative TSR PSUs (at target), 18 Absolute TSR PSUs (at target) and 36 RSUs. The Relative TSR PSUs and Absolute TSR PSUs had the same TSR Performance Period, performance goals and beginning stock price as those applicable to awards granted to other employees under the 2023 - 2025 LTIP. The RSUs would vest in one-third (1/3) installments on each of September 6, 2023, 2024 and 2025. Additionally, in recognition of the compensation Ms. Davidson forfeited by leaving her former employer, Ms. Davidson also received a one-time make-whole RSU award of 95 RSUs that would vest in one-third (1/3) installments on each of the first, second and third anniversaries of January 1, 2023. Grant date fair values were calculated using a Monte-Carlo simulation model with grant date fair values per target share and related valuation assumptions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Absolute</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Relative</w:t>
            </w:r>
          </w:p>
        </w:tc>
      </w:tr>
      <w:tr>
        <w:trPr>
          <w:trHeight w:val="173"/>
        </w:trPr>
        <w:tc>
          <w:tcPr>
            <w:tcW w:w="76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TSR PSUs</w:t>
            </w: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TSR PSUs</w:t>
            </w:r>
          </w:p>
        </w:tc>
      </w:tr>
      <w:tr>
        <w:trPr>
          <w:trHeight w:val="209"/>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 date fair value (per target share)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8"/>
                <w:szCs w:val="18"/>
                <w:color w:val="auto"/>
              </w:rPr>
              <w:t>13.84</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19.54</w:t>
            </w:r>
          </w:p>
        </w:tc>
      </w:tr>
      <w:tr>
        <w:trPr>
          <w:trHeight w:val="216"/>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7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r>
      <w:tr>
        <w:trPr>
          <w:trHeight w:val="234"/>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260" w:type="dxa"/>
            <w:vAlign w:val="bottom"/>
          </w:tcPr>
          <w:p>
            <w:pPr>
              <w:spacing w:after="0"/>
              <w:rPr>
                <w:sz w:val="20"/>
                <w:szCs w:val="20"/>
                <w:color w:val="auto"/>
              </w:rPr>
            </w:pPr>
          </w:p>
        </w:tc>
        <w:tc>
          <w:tcPr>
            <w:tcW w:w="14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3.00 years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3.00 years</w:t>
            </w:r>
          </w:p>
        </w:tc>
      </w:tr>
    </w:tbl>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7, 2025, the Company announced that Ms. Davidson departed as President and Chief Executive Officer and as a member of the Board effective May 6, 2025. In accordance with the agreement governing her make-whole RSU award, the remaining 32 unvested make-whole RSUs accelerated and vested as of May 6, 2025. All other unvested equity awards held by Ms. Davidson were forfeited in their entirety as of such date.</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Hain Board is executing its leadership succession plan to identify the Company’s next CEO. The Board appointed Alison E. Lewis, a member of the Board since September 2024, as Interim President and CEO. In connection with her appointment, Ms. Lewis received an RSU award of 621 RSUs that vest over a one-year period subject to Ms. Lewis’s continued employment as Interim President and Chief Executive Officer and certain other exceptions.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Stock-Based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and related income tax benefits recognized on the consolidated statements of operations for stock-based compensation plans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awards</w:t>
            </w:r>
          </w:p>
        </w:tc>
        <w:tc>
          <w:tcPr>
            <w:tcW w:w="24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12,704</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14,423</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Cash-settled awards</w:t>
            </w:r>
          </w:p>
        </w:tc>
        <w:tc>
          <w:tcPr>
            <w:tcW w:w="15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8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24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12,704</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14,423</w:t>
            </w:r>
          </w:p>
        </w:tc>
      </w:tr>
      <w:tr>
        <w:trPr>
          <w:trHeight w:val="20"/>
        </w:trPr>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Related income tax benefit</w:t>
            </w:r>
          </w:p>
        </w:tc>
        <w:tc>
          <w:tcPr>
            <w:tcW w:w="24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1,409</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1,734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-290830</wp:posOffset>
            </wp:positionV>
            <wp:extent cx="1028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-290830</wp:posOffset>
            </wp:positionV>
            <wp:extent cx="939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did not grant any stock options in fiscal years 2025, 2024 or 2023, and there were no stock options exercised during these periods. There were 122 stock options outstanding at each of June 30, 2025, 2024 and 2023, relating to a grant under a prior plan. Although no further awards can be granted under the prior plan, the stock options outstanding continue in accordance with the terms of the plan and grant. For stock options outstanding and exercisable at June 30, 2025, the aggregate intrinsic value (the difference between the closing stock price on the last day of trading in the year and the exercise price) was $567, and the weighted average remaining contractual life was 6.0 years. The weighted average exercise price of these stock options was $2.26. At June 30, 2025, there was no unrecognized compensation expense related to stock option awards.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15.</w:t>
        <w:tab/>
        <w:t>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22, 2025, the Company sold its minority equity interest in Chop’t Creative Salad Company LLC, predecessor to Founders Table for a total consideration of $10,000. The Company recorded a pre-tax gain of $5,396 in other expense (income), net in the consolidated statements of operations. The investment, which the Company acquired on October 27, 2015, had previously been accounted for as an equity method investment due to the Company’s representation on the Board of Directors.</w:t>
      </w:r>
    </w:p>
    <w:p>
      <w:pPr>
        <w:spacing w:after="0" w:line="14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are required to be grouped in one of three levels. The levels prioritize the inputs used to measure the fair value of the assets or liabilities. These levels are:</w:t>
      </w:r>
    </w:p>
    <w:p>
      <w:pPr>
        <w:spacing w:after="0" w:line="121"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27"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Quoted prices in markets that are not active, or inputs which are observable, either directly or indirectly, for substantially the full term of the asset or liability; and</w:t>
      </w:r>
    </w:p>
    <w:p>
      <w:pPr>
        <w:ind w:left="760" w:hanging="378"/>
        <w:spacing w:after="0" w:line="260"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measurement and unobservable (i.e., supported by little or no market activity).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June 30,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89"/>
        </w:trPr>
        <w:tc>
          <w:tcPr>
            <w:tcW w:w="58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4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5,835</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5,835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2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000000"/>
          </w:tcPr>
          <w:p>
            <w:pPr>
              <w:spacing w:after="0" w:line="20" w:lineRule="exact"/>
              <w:rPr>
                <w:sz w:val="1"/>
                <w:szCs w:val="1"/>
                <w:color w:val="auto"/>
              </w:rPr>
            </w:pPr>
          </w:p>
        </w:tc>
        <w:tc>
          <w:tcPr>
            <w:tcW w:w="98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000000"/>
          </w:tcPr>
          <w:p>
            <w:pPr>
              <w:spacing w:after="0" w:line="20" w:lineRule="exact"/>
              <w:rPr>
                <w:sz w:val="1"/>
                <w:szCs w:val="1"/>
                <w:color w:val="auto"/>
              </w:rPr>
            </w:pPr>
          </w:p>
        </w:tc>
        <w:tc>
          <w:tcPr>
            <w:tcW w:w="1100" w:type="dxa"/>
            <w:vAlign w:val="bottom"/>
            <w:tcBorders>
              <w:top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1140" w:type="dxa"/>
            <w:vAlign w:val="bottom"/>
            <w:tcBorders>
              <w:top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19,706</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19,706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-479425</wp:posOffset>
            </wp:positionV>
            <wp:extent cx="857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-479425</wp:posOffset>
            </wp:positionV>
            <wp:extent cx="857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-170815</wp:posOffset>
            </wp:positionV>
            <wp:extent cx="857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-170815</wp:posOffset>
            </wp:positionV>
            <wp:extent cx="857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857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assets and liabilities measured at fair value on a recurring basis as of June 30,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8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00" w:type="dxa"/>
            <w:vAlign w:val="bottom"/>
          </w:tcPr>
          <w:p>
            <w:pPr>
              <w:jc w:val="center"/>
              <w:ind w:left="168"/>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3"/>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69"/>
        </w:trPr>
        <w:tc>
          <w:tcPr>
            <w:tcW w:w="582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14,982</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14,982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820" w:type="dxa"/>
            <w:vAlign w:val="bottom"/>
            <w:gridSpan w:val="3"/>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CFF0FC"/>
          </w:tcPr>
          <w:p>
            <w:pPr>
              <w:spacing w:after="0" w:line="20" w:lineRule="exact"/>
              <w:rPr>
                <w:sz w:val="1"/>
                <w:szCs w:val="1"/>
                <w:color w:val="auto"/>
              </w:rPr>
            </w:pPr>
          </w:p>
        </w:tc>
        <w:tc>
          <w:tcPr>
            <w:tcW w:w="50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3,333</w:t>
            </w:r>
          </w:p>
        </w:tc>
        <w:tc>
          <w:tcPr>
            <w:tcW w:w="104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43"/>
              <w:spacing w:after="0"/>
              <w:rPr>
                <w:sz w:val="20"/>
                <w:szCs w:val="20"/>
                <w:color w:val="auto"/>
              </w:rPr>
            </w:pPr>
            <w:r>
              <w:rPr>
                <w:rFonts w:ascii="Times New Roman" w:cs="Times New Roman" w:eastAsia="Times New Roman" w:hAnsi="Times New Roman"/>
                <w:sz w:val="18"/>
                <w:szCs w:val="18"/>
                <w:color w:val="auto"/>
              </w:rPr>
              <w:t>3,333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spacing w:after="0" w:line="453" w:lineRule="auto"/>
        <w:rPr>
          <w:sz w:val="20"/>
          <w:szCs w:val="20"/>
          <w:color w:val="auto"/>
        </w:rPr>
      </w:pPr>
      <w:r>
        <w:rPr>
          <w:rFonts w:ascii="Times New Roman" w:cs="Times New Roman" w:eastAsia="Times New Roman" w:hAnsi="Times New Roman"/>
          <w:sz w:val="18"/>
          <w:szCs w:val="18"/>
          <w:color w:val="auto"/>
        </w:rPr>
        <w:t xml:space="preserve">There were no transfers of financial instruments between the three levels of fair value hierarchy during the fiscal years ended June 30, 2025 or 2024. </w:t>
      </w:r>
      <w:r>
        <w:rPr>
          <w:rFonts w:ascii="Times New Roman" w:cs="Times New Roman" w:eastAsia="Times New Roman" w:hAnsi="Times New Roman"/>
          <w:sz w:val="18"/>
          <w:szCs w:val="18"/>
          <w:b w:val="1"/>
          <w:bCs w:val="1"/>
          <w:color w:val="auto"/>
        </w:rPr>
        <w:t>Derivative Instruments</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uses interest rate swaps to manage interest rate risk and cross-currency swaps and foreign currency exchange contracts to manage exposure to currency fluctuations. These instruments are valued using techniques like DCF analysis, which considers the contractual terms and market-based inputs such as interest rate curves and implied volatilities. The fair values of interest rate swaps are determined by netting the discounted future fixed and variable cash flows. The variable cash flows are based on expected future interest rates.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valuation adjustments are made to reflect the nonperformance risk of both the Company and its counterparties. Most inputs used to value derivatives fall within Level 2 of the fair value hierarchy, but credit valuation adjustments use Level 3 inputs, such as current credit spreads. The impact of these adjustments was not significant to the overall valuation, so all derivatives as of June 30, 2025 and June 30, 2024 were classified as Level 2.</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certain non-financial assets, such as goodwill, indefinite and definite lived intangible assets, and long-lived assets (property and equipment, and right-of-use lease assets), at fair value on a nonrecurring basis. These assets are initially measured at fair value at the time of acquisition or purchase, with adjustments only for foreign currency translation. Periodically, these assets are tested for impairment by comparing their carrying values to their estimated fair values. If an asset is impaired, the Company recognizes an impairment expense equal to the excess of the carrying value over the estimated fair value.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indefinite-lived intangible assets, fair value is determined using the relief from royalty approach, considering factors like future growth, royalty rates, discount rates, and other variables. Fair value measurements for reporting units where goodwill resides are estimated using a blended analysis of the DCF income approach and GPCM market approach, which involve significant management judgment and Level 3 inputs, such as economic conditions and customer demand. For long-lived assets the Company compares the fair value of the assets to their carrying value utilizing a valuation technique commensurate with the underlying assets. These measurements are performed at least annually for impairment testing. The Company bases its fair value estimates on reasonable assumptions but acknowledges their unpredictability and inherent uncertainty. See Note 7,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xml:space="preserve"> for further information. For assets where a fair value test was performed, the Company utilized nonrecurring fair value measurements which are classified as Level 3.</w:t>
      </w:r>
    </w:p>
    <w:p>
      <w:pPr>
        <w:spacing w:after="0" w:line="147" w:lineRule="exact"/>
        <w:rPr>
          <w:sz w:val="20"/>
          <w:szCs w:val="20"/>
          <w:color w:val="auto"/>
        </w:rPr>
      </w:pPr>
    </w:p>
    <w:p>
      <w:pPr>
        <w:ind w:right="7160" w:firstLine="8"/>
        <w:spacing w:after="0" w:line="464" w:lineRule="auto"/>
        <w:tabs>
          <w:tab w:leader="none" w:pos="37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DERIVATIVES AND HEDGING ACTIVITIES Risk Management Objective of Using Derivatives</w:t>
      </w: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manages its exposures to a wide variety of business and operational risks.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receivables and borrowings.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foreign operations expose the Company to fluctuations of foreign exchange rates. These fluctuations may impact the value of the Company’s cash receipts and payments in terms of the Company’s functional currency. The Company enters into derivative financial instruments to protect the value or fix the amount of certain assets and liabilities in terms of its functional currency, the U.S. Dollar. Accordingly, the Company uses derivative financial instruments to manage and mitigate such risks. The Company does not use derivatives for speculative or trading purposes.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Interest Rate Risk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During fiscal 2024 and 2023, such derivatives were used to hedge the variable cash flows associated with existing variable rate debt.</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AOCL and subsequently reclassified into interest expense in the same period during which the hedged transaction affects earnings. Amounts reported in AOCL related to derivatives will be reclassified to interest expense as interest payments are made on the Company’s variable rate debt. During the next 12 months, the Company estimates that an additional $3,094 will be reclassified as a decrease to interest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the following outstanding interest rate derivatives that were designated as cash flow hedges of interest rate risk: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Derivative</w:t>
            </w:r>
          </w:p>
        </w:tc>
        <w:tc>
          <w:tcPr>
            <w:tcW w:w="200" w:type="dxa"/>
            <w:vAlign w:val="bottom"/>
          </w:tcPr>
          <w:p>
            <w:pPr>
              <w:spacing w:after="0"/>
              <w:rPr>
                <w:sz w:val="15"/>
                <w:szCs w:val="15"/>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Notional Amount</w:t>
            </w:r>
          </w:p>
        </w:tc>
      </w:tr>
      <w:tr>
        <w:trPr>
          <w:trHeight w:val="209"/>
        </w:trPr>
        <w:tc>
          <w:tcPr>
            <w:tcW w:w="5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Interest rate swap</w:t>
            </w:r>
          </w:p>
        </w:tc>
        <w:tc>
          <w:tcPr>
            <w:tcW w:w="264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400,000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 of Foreign Exchange Risk</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fluctuations in various foreign currencies against its functional currency, the U.S. Dollar. The Company, at times, uses forward contracts to manage its exposure to fluctuations in the GBP-EUR exchange rates. The Company designates these derivatives as cash flow hedges of foreign exchange risks.</w:t>
      </w:r>
    </w:p>
    <w:p>
      <w:pPr>
        <w:sectPr>
          <w:pgSz w:w="11900" w:h="16838" w:orient="portrait"/>
          <w:cols w:equalWidth="0" w:num="1">
            <w:col w:w="11240"/>
          </w:cols>
          <w:pgMar w:left="320" w:top="117" w:right="33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foreign exchange risk, the gain or loss on the derivative is recorded in AOCL and subsequently reclassified in the same period during which the hedged transaction affects earnings within the same income statement line item as the earnings effect of the hedged transaction. During the next 12 months, the Company estimates that an additional $114 relating to the foreign currency forward contracts will be reclassified to interest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had the following outstanding foreign currency derivatives that were used to hedge its foreign exchange risks: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 Derivative</w:t>
            </w:r>
          </w:p>
        </w:tc>
        <w:tc>
          <w:tcPr>
            <w:tcW w:w="22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20" w:type="dxa"/>
            <w:vAlign w:val="bottom"/>
          </w:tcPr>
          <w:p>
            <w:pPr>
              <w:spacing w:after="0"/>
              <w:rPr>
                <w:sz w:val="15"/>
                <w:szCs w:val="15"/>
                <w:color w:val="auto"/>
              </w:rPr>
            </w:pPr>
          </w:p>
        </w:tc>
        <w:tc>
          <w:tcPr>
            <w:tcW w:w="1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Notional Sold</w:t>
            </w: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Notional Purchased</w:t>
            </w:r>
          </w:p>
        </w:tc>
      </w:tr>
      <w:tr>
        <w:trPr>
          <w:trHeight w:val="210"/>
        </w:trPr>
        <w:tc>
          <w:tcPr>
            <w:tcW w:w="3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Foreign currency forward contract</w:t>
            </w:r>
          </w:p>
        </w:tc>
        <w:tc>
          <w:tcPr>
            <w:tcW w:w="270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gridSpan w:val="2"/>
            <w:shd w:val="clear" w:color="auto" w:fill="CFF0FC"/>
          </w:tcPr>
          <w:p>
            <w:pPr>
              <w:jc w:val="right"/>
              <w:ind w:right="15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14,067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16,600</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fluctuations in foreign exchange rates on investments it holds in its European foreign entities and their exposure to the Euro. The Company uses fixed-to-fixed cross-currency swaps to hedge its exposure to changes in the foreign exchange rate on its foreign investment in Western Europe. Currency forward agreements involve fixing the USD-EUR exchange rate for delivery of a specified amount of foreign currency on a specified date. The currency forward agreements are typically cash settled in U.S. Dollars for their fair value at or close to their settlement date. Cross-currency swaps involve the receipt of functional-currency-fixed-rate amounts from a counterparty in exchange for the Company making foreign-currency-fixed-rate payments over the life of the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derivatives designated as net investment hedges, the gain or loss on the derivative is reported in AOCL as part of the cumulative translation adjustment.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are reclassified out of AOCL into earnings when the hedged net investment is either sold or substantially liquidated.</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2025, the Company terminated four EUR-USD cross-currency swaps across various counterparties and received proceeds of $2,363. The Company simultaneously entered into new, at-market cross currency swaps with the same aggregate notional amount as the previous net investment hedges. The gain from termination will remain in AOCL until the net investment is sold or substantially liquidated.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the following outstanding foreign currency derivatives that were used to hedge its net investments in foreign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 Derivative</w:t>
            </w:r>
          </w:p>
        </w:tc>
        <w:tc>
          <w:tcPr>
            <w:tcW w:w="2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20" w:type="dxa"/>
            <w:vAlign w:val="bottom"/>
          </w:tcPr>
          <w:p>
            <w:pPr>
              <w:spacing w:after="0"/>
              <w:rPr>
                <w:sz w:val="15"/>
                <w:szCs w:val="15"/>
                <w:color w:val="auto"/>
              </w:rPr>
            </w:pPr>
          </w:p>
        </w:tc>
        <w:tc>
          <w:tcPr>
            <w:tcW w:w="17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Sold</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Notional Purchased</w:t>
            </w:r>
          </w:p>
        </w:tc>
      </w:tr>
      <w:tr>
        <w:trPr>
          <w:trHeight w:val="210"/>
        </w:trPr>
        <w:tc>
          <w:tcPr>
            <w:tcW w:w="3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Cross-currency swap</w:t>
            </w:r>
          </w:p>
        </w:tc>
        <w:tc>
          <w:tcPr>
            <w:tcW w:w="272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100,300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103,312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exposed to changes in the fair value of certain of its foreign denominated intercompany loans due to changes in foreign exchange spot rates. The Company uses fixed-to-fixed cross-currency swaps to hedge its exposure to changes in foreign exchange rates affecting gains and losses on intercompany loan principal and interest. Cross-currency swaps involve the receipt of functional-currency-fixed-rate amounts from a counterparty in exchange for the Company making foreign-currency-fixed-rate payments over the life of the agreement.</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derivatives designated and that qualify as fair value hedges, the gain or loss on the derivative as well as the offsetting loss or gain on the hedged item attributable to the hedged risk are recognized in interest and other financing expense, net.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Gains and losses on the derivative representing hedge components excluded from the assessment of effectiveness are recognized over the life of the hedge on a systematic and rational basis, as documented at hedge inception in accordance with the Company’s accounting policy election. The earnings recognition of excluded components is presented in the same income statement line item as the earnings effect of the hedged transaction. During the next 12 months, the Company estimates that an additional $476 relating to cross-currency swaps will be reclassified as a decrease to interest expense.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 terminated one EUR-USD cross-currency swap and received proceeds of $552. The Company simultaneously entered into a new, at-market cross currency swap with the same notional amount as the previous fair value hedge. A portion of gain was recognized in the statement of comprehensive loss, and the balance was deferred to AOCL where it will be amortized on a straight-line basis.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2025, the Company had the following outstanding foreign currency derivatives that were used to hedge changes in fair value attributable to foreign exchange risk:</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Foreign Currency Derivative</w:t>
            </w:r>
          </w:p>
        </w:tc>
        <w:tc>
          <w:tcPr>
            <w:tcW w:w="20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Instruments</w:t>
            </w:r>
          </w:p>
        </w:tc>
        <w:tc>
          <w:tcPr>
            <w:tcW w:w="220" w:type="dxa"/>
            <w:vAlign w:val="bottom"/>
          </w:tcPr>
          <w:p>
            <w:pPr>
              <w:spacing w:after="0"/>
              <w:rPr>
                <w:sz w:val="15"/>
                <w:szCs w:val="15"/>
                <w:color w:val="auto"/>
              </w:rPr>
            </w:pPr>
          </w:p>
        </w:tc>
        <w:tc>
          <w:tcPr>
            <w:tcW w:w="17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Notional Sold</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Notional Purchased</w:t>
            </w:r>
          </w:p>
        </w:tc>
      </w:tr>
      <w:tr>
        <w:trPr>
          <w:trHeight w:val="210"/>
        </w:trPr>
        <w:tc>
          <w:tcPr>
            <w:tcW w:w="3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Cross-currency swap</w:t>
            </w:r>
          </w:p>
        </w:tc>
        <w:tc>
          <w:tcPr>
            <w:tcW w:w="272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24,700</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25,453</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following amounts were recorded on the consolidated balance sheets related to cumulative basis adjustment for fair value hedges: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60" w:type="dxa"/>
            <w:vAlign w:val="bottom"/>
            <w:gridSpan w:val="4"/>
            <w:vMerge w:val="restart"/>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Carrying Amount of the Hedged Asset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0" w:type="dxa"/>
            <w:vAlign w:val="bottom"/>
            <w:gridSpan w:val="5"/>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Cumulative Amount of Fair Value Hedge Adjustment</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96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5"/>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Included in the Carrying Amount of the Hedged Asset</w:t>
            </w:r>
          </w:p>
        </w:tc>
        <w:tc>
          <w:tcPr>
            <w:tcW w:w="0" w:type="dxa"/>
            <w:vAlign w:val="bottom"/>
          </w:tcPr>
          <w:p>
            <w:pPr>
              <w:spacing w:after="0"/>
              <w:rPr>
                <w:sz w:val="1"/>
                <w:szCs w:val="1"/>
                <w:color w:val="auto"/>
              </w:rPr>
            </w:pPr>
          </w:p>
        </w:tc>
      </w:tr>
      <w:tr>
        <w:trPr>
          <w:trHeight w:val="173"/>
        </w:trPr>
        <w:tc>
          <w:tcPr>
            <w:tcW w:w="3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960" w:type="dxa"/>
            <w:vAlign w:val="bottom"/>
            <w:tcBorders>
              <w:bottom w:val="single" w:sz="8" w:color="auto"/>
            </w:tcBorders>
            <w:gridSpan w:val="4"/>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6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8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Intercompany loan receivable</w:t>
            </w:r>
          </w:p>
        </w:tc>
        <w:tc>
          <w:tcPr>
            <w:tcW w:w="8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864"/>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28,982</w:t>
            </w:r>
          </w:p>
        </w:tc>
        <w:tc>
          <w:tcPr>
            <w:tcW w:w="124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26,465</w:t>
            </w:r>
          </w:p>
        </w:tc>
        <w:tc>
          <w:tcPr>
            <w:tcW w:w="54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2,517</w:t>
            </w:r>
          </w:p>
        </w:tc>
        <w:tc>
          <w:tcPr>
            <w:tcW w:w="5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939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9461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9461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Designated Hedges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sheets as of June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2720" w:type="dxa"/>
            <w:vAlign w:val="bottom"/>
            <w:tcBorders>
              <w:bottom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80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98"/>
              </w:rPr>
              <w:t>instruments:</w:t>
            </w:r>
          </w:p>
        </w:tc>
        <w:tc>
          <w:tcPr>
            <w:tcW w:w="2420" w:type="dxa"/>
            <w:vAlign w:val="bottom"/>
            <w:tcBorders>
              <w:bottom w:val="single" w:sz="8" w:color="CFF0FC"/>
            </w:tcBorders>
            <w:gridSpan w:val="2"/>
            <w:shd w:val="clear" w:color="auto" w:fill="CFF0FC"/>
          </w:tcPr>
          <w:p>
            <w:pPr>
              <w:spacing w:after="0"/>
              <w:rPr>
                <w:sz w:val="18"/>
                <w:szCs w:val="18"/>
                <w:color w:val="auto"/>
              </w:rPr>
            </w:pPr>
          </w:p>
        </w:tc>
        <w:tc>
          <w:tcPr>
            <w:tcW w:w="2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swaps</w:t>
            </w:r>
          </w:p>
        </w:tc>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Cross-currency swaps</w:t>
            </w:r>
          </w:p>
        </w:tc>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2,335</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198"/>
        </w:trPr>
        <w:tc>
          <w:tcPr>
            <w:tcW w:w="3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2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480" w:type="dxa"/>
            <w:vAlign w:val="bottom"/>
            <w:shd w:val="clear" w:color="auto" w:fill="CFF0FC"/>
          </w:tcPr>
          <w:p>
            <w:pPr>
              <w:spacing w:after="0"/>
              <w:rPr>
                <w:sz w:val="16"/>
                <w:szCs w:val="16"/>
                <w:color w:val="auto"/>
              </w:rPr>
            </w:pPr>
          </w:p>
        </w:tc>
        <w:tc>
          <w:tcPr>
            <w:tcW w:w="120" w:type="dxa"/>
            <w:vAlign w:val="bottom"/>
            <w:vMerge w:val="restart"/>
            <w:shd w:val="clear" w:color="auto" w:fill="CFF0FC"/>
          </w:tcPr>
          <w:p>
            <w:pPr>
              <w:spacing w:after="0"/>
              <w:rPr>
                <w:sz w:val="16"/>
                <w:szCs w:val="16"/>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5,835</w:t>
            </w:r>
          </w:p>
        </w:tc>
        <w:tc>
          <w:tcPr>
            <w:tcW w:w="120" w:type="dxa"/>
            <w:vAlign w:val="bottom"/>
            <w:shd w:val="clear" w:color="auto" w:fill="CFF0FC"/>
          </w:tcPr>
          <w:p>
            <w:pPr>
              <w:spacing w:after="0"/>
              <w:rPr>
                <w:sz w:val="16"/>
                <w:szCs w:val="16"/>
                <w:color w:val="auto"/>
              </w:rPr>
            </w:pPr>
          </w:p>
        </w:tc>
        <w:tc>
          <w:tcPr>
            <w:tcW w:w="2720" w:type="dxa"/>
            <w:vAlign w:val="bottom"/>
            <w:shd w:val="clear" w:color="auto" w:fill="CFF0FC"/>
          </w:tcPr>
          <w:p>
            <w:pPr>
              <w:spacing w:after="0"/>
              <w:rPr>
                <w:sz w:val="16"/>
                <w:szCs w:val="16"/>
                <w:color w:val="auto"/>
              </w:rPr>
            </w:pP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19,706</w:t>
            </w:r>
          </w:p>
        </w:tc>
        <w:tc>
          <w:tcPr>
            <w:tcW w:w="0" w:type="dxa"/>
            <w:vAlign w:val="bottom"/>
          </w:tcPr>
          <w:p>
            <w:pPr>
              <w:spacing w:after="0"/>
              <w:rPr>
                <w:sz w:val="1"/>
                <w:szCs w:val="1"/>
                <w:color w:val="auto"/>
              </w:rPr>
            </w:pPr>
          </w:p>
        </w:tc>
      </w:tr>
      <w:tr>
        <w:trPr>
          <w:trHeight w:val="214"/>
        </w:trPr>
        <w:tc>
          <w:tcPr>
            <w:tcW w:w="3320" w:type="dxa"/>
            <w:vAlign w:val="bottom"/>
            <w:gridSpan w:val="3"/>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instruments</w:t>
            </w:r>
          </w:p>
        </w:tc>
        <w:tc>
          <w:tcPr>
            <w:tcW w:w="2480" w:type="dxa"/>
            <w:vAlign w:val="bottom"/>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40" w:type="dxa"/>
            <w:vAlign w:val="bottom"/>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-24765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the Company’s derivative financial instruments as well as their classification on the consolidated balance sheets as of June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2720" w:type="dxa"/>
            <w:vAlign w:val="bottom"/>
            <w:tcBorders>
              <w:bottom w:val="single" w:sz="8" w:color="auto"/>
            </w:tcBorders>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52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800" w:type="dxa"/>
            <w:vAlign w:val="bottom"/>
            <w:tcBorders>
              <w:bottom w:val="single" w:sz="8" w:color="CFF0FC"/>
            </w:tcBorders>
            <w:shd w:val="clear" w:color="auto" w:fill="CFF0FC"/>
          </w:tcPr>
          <w:p>
            <w:pPr>
              <w:spacing w:after="0"/>
              <w:rPr>
                <w:sz w:val="14"/>
                <w:szCs w:val="14"/>
                <w:color w:val="auto"/>
              </w:rPr>
            </w:pPr>
          </w:p>
        </w:tc>
        <w:tc>
          <w:tcPr>
            <w:tcW w:w="24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900" w:type="dxa"/>
            <w:vAlign w:val="bottom"/>
            <w:tcBorders>
              <w:bottom w:val="single" w:sz="8" w:color="auto"/>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w w:val="98"/>
              </w:rPr>
              <w:t>instruments:</w:t>
            </w:r>
          </w:p>
        </w:tc>
        <w:tc>
          <w:tcPr>
            <w:tcW w:w="2420" w:type="dxa"/>
            <w:vAlign w:val="bottom"/>
            <w:tcBorders>
              <w:bottom w:val="single" w:sz="8" w:color="CFF0FC"/>
            </w:tcBorders>
            <w:gridSpan w:val="2"/>
            <w:shd w:val="clear" w:color="auto" w:fill="CFF0FC"/>
          </w:tcPr>
          <w:p>
            <w:pPr>
              <w:spacing w:after="0"/>
              <w:rPr>
                <w:sz w:val="18"/>
                <w:szCs w:val="18"/>
                <w:color w:val="auto"/>
              </w:rPr>
            </w:pPr>
          </w:p>
        </w:tc>
        <w:tc>
          <w:tcPr>
            <w:tcW w:w="24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7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Interest rate swaps</w:t>
            </w:r>
          </w:p>
        </w:tc>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5,151</w:t>
            </w:r>
          </w:p>
        </w:tc>
        <w:tc>
          <w:tcPr>
            <w:tcW w:w="120" w:type="dxa"/>
            <w:vAlign w:val="bottom"/>
            <w:shd w:val="clear" w:color="auto" w:fill="CFF0FC"/>
          </w:tcPr>
          <w:p>
            <w:pPr>
              <w:spacing w:after="0"/>
              <w:rPr>
                <w:sz w:val="18"/>
                <w:szCs w:val="18"/>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3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Cross-currency swaps</w:t>
            </w:r>
          </w:p>
        </w:tc>
        <w:tc>
          <w:tcPr>
            <w:tcW w:w="2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Cross-currency swaps</w:t>
            </w:r>
          </w:p>
        </w:tc>
        <w:tc>
          <w:tcPr>
            <w:tcW w:w="2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191"/>
        </w:trPr>
        <w:tc>
          <w:tcPr>
            <w:tcW w:w="33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Total derivatives designated as hedging</w:t>
            </w:r>
          </w:p>
        </w:tc>
        <w:tc>
          <w:tcPr>
            <w:tcW w:w="2480" w:type="dxa"/>
            <w:vAlign w:val="bottom"/>
          </w:tcPr>
          <w:p>
            <w:pPr>
              <w:spacing w:after="0"/>
              <w:rPr>
                <w:sz w:val="16"/>
                <w:szCs w:val="16"/>
                <w:color w:val="auto"/>
              </w:rPr>
            </w:pPr>
          </w:p>
        </w:tc>
        <w:tc>
          <w:tcPr>
            <w:tcW w:w="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14,982</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194"/>
        </w:trPr>
        <w:tc>
          <w:tcPr>
            <w:tcW w:w="33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instruments</w:t>
            </w:r>
          </w:p>
        </w:tc>
        <w:tc>
          <w:tcPr>
            <w:tcW w:w="248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8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9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-993775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AOCL for fiscal years ended June 30, 2025, 2024 and 2023:</w:t>
      </w:r>
    </w:p>
    <w:p>
      <w:pPr>
        <w:ind w:left="6400"/>
        <w:spacing w:after="0"/>
        <w:rPr>
          <w:sz w:val="20"/>
          <w:szCs w:val="20"/>
          <w:color w:val="auto"/>
        </w:rPr>
      </w:pPr>
      <w:r>
        <w:rPr>
          <w:rFonts w:ascii="Times New Roman" w:cs="Times New Roman" w:eastAsia="Times New Roman" w:hAnsi="Times New Roman"/>
          <w:sz w:val="18"/>
          <w:szCs w:val="18"/>
          <w:b w:val="1"/>
          <w:bCs w:val="1"/>
          <w:color w:val="auto"/>
        </w:rPr>
        <w:t>Amount of (Loss) Gain Recognized in AOCL 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31457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r>
        <w:trPr>
          <w:trHeight w:val="196"/>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62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6"/>
        </w:trPr>
        <w:tc>
          <w:tcPr>
            <w:tcW w:w="34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28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5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7,300</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CCEEFF"/>
            </w:tcBorders>
          </w:tcPr>
          <w:p>
            <w:pPr>
              <w:jc w:val="right"/>
              <w:ind w:right="33"/>
              <w:spacing w:after="0"/>
              <w:rPr>
                <w:sz w:val="20"/>
                <w:szCs w:val="20"/>
                <w:color w:val="auto"/>
              </w:rPr>
            </w:pPr>
            <w:r>
              <w:rPr>
                <w:rFonts w:ascii="Times New Roman" w:cs="Times New Roman" w:eastAsia="Times New Roman" w:hAnsi="Times New Roman"/>
                <w:sz w:val="18"/>
                <w:szCs w:val="18"/>
                <w:color w:val="auto"/>
              </w:rPr>
              <w:t>20,413</w:t>
            </w:r>
          </w:p>
        </w:tc>
      </w:tr>
      <w:tr>
        <w:trPr>
          <w:trHeight w:val="216"/>
        </w:trPr>
        <w:tc>
          <w:tcPr>
            <w:tcW w:w="6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w:t>
            </w:r>
          </w:p>
        </w:tc>
      </w:tr>
      <w:tr>
        <w:trPr>
          <w:trHeight w:val="175"/>
        </w:trPr>
        <w:tc>
          <w:tcPr>
            <w:tcW w:w="6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
        </w:trPr>
        <w:tc>
          <w:tcPr>
            <w:tcW w:w="34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62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1,843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176"/>
        </w:trPr>
        <w:tc>
          <w:tcPr>
            <w:tcW w:w="6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fair value hedging relationships:</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
        </w:trPr>
        <w:tc>
          <w:tcPr>
            <w:tcW w:w="3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62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09"/>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(13,822)</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9,647</w:t>
            </w:r>
          </w:p>
        </w:tc>
        <w:tc>
          <w:tcPr>
            <w:tcW w:w="22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18,904</w:t>
            </w:r>
          </w:p>
        </w:tc>
      </w:tr>
      <w:tr>
        <w:trPr>
          <w:trHeight w:val="20"/>
        </w:trPr>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1460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137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pre-tax effect of the Company’s cash flow hedges, net investment hedges, and fair value hedges on the consolidated statements of operations, recorded in interest and other financing expense, net, for fiscal years ended June 30, 2025,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gridSpan w:val="8"/>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Amount of Gain (Loss) Reclassified from AOCL into Income</w:t>
            </w:r>
          </w:p>
        </w:tc>
      </w:tr>
      <w:tr>
        <w:trPr>
          <w:trHeight w:val="238"/>
        </w:trPr>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center"/>
              <w:ind w:right="252"/>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03"/>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2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196"/>
        </w:trPr>
        <w:tc>
          <w:tcPr>
            <w:tcW w:w="3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596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9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216"/>
        </w:trPr>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560" w:type="dxa"/>
            <w:vAlign w:val="bottom"/>
            <w:tcBorders>
              <w:top w:val="single" w:sz="8" w:color="CCEEFF"/>
            </w:tcBorders>
            <w:gridSpan w:val="2"/>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r>
      <w:tr>
        <w:trPr>
          <w:trHeight w:val="216"/>
        </w:trPr>
        <w:tc>
          <w:tcPr>
            <w:tcW w:w="5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96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6,581</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9,348</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5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Cross-currency swaps</w:t>
            </w:r>
          </w:p>
        </w:tc>
        <w:tc>
          <w:tcPr>
            <w:tcW w:w="96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5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9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net investment hedging relationships: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34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59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swaps</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1,963</w:t>
            </w:r>
          </w:p>
        </w:tc>
      </w:tr>
      <w:tr>
        <w:trPr>
          <w:trHeight w:val="175"/>
        </w:trPr>
        <w:tc>
          <w:tcPr>
            <w:tcW w:w="59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Derivatives in fair value hedging relationships:</w:t>
            </w:r>
          </w:p>
        </w:tc>
        <w:tc>
          <w:tcPr>
            <w:tcW w:w="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
        </w:trPr>
        <w:tc>
          <w:tcPr>
            <w:tcW w:w="340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5960" w:type="dxa"/>
            <w:vAlign w:val="bottom"/>
            <w:tcBorders>
              <w:bottom w:val="single" w:sz="8" w:color="CCEEFF"/>
            </w:tcBorders>
            <w:gridSpan w:val="3"/>
            <w:shd w:val="clear" w:color="auto" w:fill="CCEEFF"/>
          </w:tcPr>
          <w:p>
            <w:pPr>
              <w:ind w:left="60"/>
              <w:spacing w:after="0" w:line="216" w:lineRule="exact"/>
              <w:rPr>
                <w:sz w:val="20"/>
                <w:szCs w:val="20"/>
                <w:color w:val="auto"/>
              </w:rPr>
            </w:pPr>
            <w:r>
              <w:rPr>
                <w:rFonts w:ascii="Times New Roman" w:cs="Times New Roman" w:eastAsia="Times New Roman" w:hAnsi="Times New Roman"/>
                <w:sz w:val="18"/>
                <w:szCs w:val="18"/>
                <w:color w:val="auto"/>
              </w:rPr>
              <w:t>Cross-currency swaps</w:t>
            </w:r>
            <w:r>
              <w:rPr>
                <w:rFonts w:ascii="Times New Roman" w:cs="Times New Roman" w:eastAsia="Times New Roman" w:hAnsi="Times New Roman"/>
                <w:sz w:val="24"/>
                <w:szCs w:val="24"/>
                <w:color w:val="auto"/>
                <w:vertAlign w:val="superscript"/>
              </w:rPr>
              <w:t>(1)</w:t>
            </w:r>
          </w:p>
        </w:tc>
        <w:tc>
          <w:tcPr>
            <w:tcW w:w="9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970</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0"/>
        </w:trPr>
        <w:tc>
          <w:tcPr>
            <w:tcW w:w="3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6,531</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12,296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8,049</w:t>
            </w:r>
          </w:p>
        </w:tc>
      </w:tr>
      <w:tr>
        <w:trPr>
          <w:trHeight w:val="20"/>
        </w:trPr>
        <w:tc>
          <w:tcPr>
            <w:tcW w:w="3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-170815</wp:posOffset>
            </wp:positionV>
            <wp:extent cx="1460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14605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pacing w:after="0" w:line="176" w:lineRule="exact"/>
        <w:rPr>
          <w:sz w:val="20"/>
          <w:szCs w:val="20"/>
          <w:color w:val="auto"/>
        </w:rPr>
      </w:pPr>
    </w:p>
    <w:p>
      <w:pPr>
        <w:ind w:left="760" w:hanging="752"/>
        <w:spacing w:after="0" w:line="284" w:lineRule="auto"/>
        <w:tabs>
          <w:tab w:leader="none" w:pos="7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amount that is excluded from effectiveness testing. The amount of gain, excluded from effectiveness testing, reclassified from AOCL into income for fiscal years 2025, 2024, and 2023 was $460, $490, and $489, respectively.</w:t>
      </w:r>
    </w:p>
    <w:p>
      <w:pPr>
        <w:spacing w:after="0" w:line="11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18.</w:t>
        <w:tab/>
        <w:t>COMMITMENTS AND CONTINGENCIES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Actions Filed in Federal Court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and certain of its former officers (collectively, the “Defendants”) are defendants in a consolidated class action complaint in the Eastern District of New York under the caption In re The Hain Celestial Group, Inc. Securities Litigation (the “Consolidated Securities Action”). A Corrected Consolidated Amended Complaint was filed in the summer of 2017, which asserted violations of Sections 10(b) and 20(a) of the Securities Exchange Act of 1934 based on allegedly materially false or misleading statements and omissions in public statements, press releases and SEC filings regarding the Company’s business, prospects, financial results and internal controls.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Defendants’ initial motion to dismiss was granted without prejudice to replead in October 2017, the Co-Lead Plaintiffs filed a Second Amended Consolidated Class Action Complaint on May 6, 2019 (the “Second Amended Complaint”), which made allegations similar to those in the previous complaint. After several years of motion practice and related court orders, on September 29, 2023, the District Court granted Defendants’ Motion to Dismiss the Second Amended Complaint. Co-Lead Plaintiffs filed a notice of appeal on October 26, 2023, appealing the District Court’s decision dismissing the Second Amended Complaint to the Second Circuit, and the appeal was fully briefed as of June 3, 2024. The Court held oral argument on Plaintiffs’ appeal on December 5, 2024, and the Parties await a decision.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Stockholder Class Action and Derivative Complaints Filed in Federal Court</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former Board of Directors and certain former officers of the Company are defendants in a consolidated action, originally filed in 2017 in the Eastern District of New York, under the caption In re The Hain Celestial Group, Inc. Stockholder Class and Derivative Litigation (the “Consolidated Stockholder Class and Derivative Action”). The plaintiffs allege that the Company’s former directors and certain former officers made materially false and misleading statements in press releases and SEC filings regarding the Company’s business, prospects and financial results and that the Company violated its by-laws and Delaware law by failing to hold its 2016 Annual Stockholders Meeting and claim breach of fiduciary duty, unjust enrichment and corporate waste.</w:t>
      </w:r>
    </w:p>
    <w:p>
      <w:pPr>
        <w:spacing w:after="0" w:line="1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several years of motion practice and related court orders in the related Consolidated Securities Action, on July 24, 2020, the plaintiffs made a stockholder litigation demand on the Board containing overlapping factual allegations to those set forth in the Consolidated Stockholder Class and Derivative Action. On November 3, 2020, Plaintiffs were informed that the Board had finished investigating and resolved, among other things, that the demand should be rejected. In light of developments in the Consolidated Securities Action referenced above that remanded that case for further proceedings, the parties submitted a joint status report on December 29, 2021 requesting that the District Court continue the temporary stay pending the District Court’s reconsideration of the Defendants’ motion to dismiss the Second Amended Complaint in the Consolidated Securities Action. The parties have agreed to extend the stay during the pendency of the pending appeal in the Consolidated Securities Action, most recently through the earlier of September 29, 2025 or 30 days after the Second Circuit issues a decision on plaintiffs’ appeal.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Class Action Litigation</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Since February 2021, the Company has been named in numerous consumer class actions alleging that the Company’s Earth’s Best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baby food products (the “Products”) contain unsafe and undisclosed levels of various naturally occurring heavy metals, namely lead, arsenic, cadmium and mercury. Those actions were transferred and consolidated as a single lawsuit in the U.S. District Court for the Eastern District of New York captioned In re Hain Celestial Heavy Metals Baby Food Litigation, Case No. 2:21-cv-678 (the “Consolidated Proceeding”). In the Consolidated Proceeding, the plaintiffs generally allege that the Company violated various state consumer protection laws and assert other state and common law warranty and unjust enrichment claims related to the alleged failure to disclose the presence of these metals, arguing that consumers would have either not purchased the Products or would have paid less for them had the Company made adequate disclosures. The Company filed a motion to dismiss the Consolidated Class Action Complaint. Following oral argument on August 1, 2024, the Court issued an order on December 27, 2024 in which it granted the Company’s motion to dismiss with respect to Plaintiffs’ claims arising out of the alleged presence of lead, cadmium, mercury, or other substances, as well as any claims challenging the use of the “USDA Organic” seal on the Products’ labeling, and denied the Company’s motion to dismiss with respect to Plaintiffs’ claims arising out of the alleged presence of arsenic in the Products. The Company filed its answer to the Consolidated Class Action Complaint on January 23, 2025. One consumer class action is pending in New York Supreme Court, Nassau County, which the court has stayed in deference to the Consolidated Proceeding. The Company denies the allegations in these lawsuits and contends that its baby foods are safe and properly labeled.</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claims raised in these lawsuits were brought in the wake of a highly publicized report issued by the U.S. House of Representatives Subcommittee on Economic and Consumer Policy on Oversight and Reform, dated February 4, 2021 (the “House Report”), addressing the presence of heavy metals in baby foods made by certain manufacturers, including the Company. Since the publication of the House Report, the Company has also received information requests with respect to the advertising and quality of its baby foods from certain governmental authorities, as such authorities investigate the claims made in the House Report. The Company is fully cooperating with these requests and has provided documents and other requested information.</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named in one civil government enforcement action, State of New Mexico ex rel. Balderas v. Nurture, Inc., et al., which was filed by the New Mexico Attorney General against the Company and several other manufacturers based on the alleged presence of heavy metals in their baby food products. The Company and several other manufacturers moved to dismiss the New Mexico Attorney General’s lawsuit, and the Court denied that motion. The Company filed its answer to the New Mexico Attorney General’s amended complaint on April 23, 2022, and discovery is ongoing. The Company denies the New Mexico Attorney General’s allegations and maintains that its baby foods are safe, properly labeled, and compliant with New Mexico law.</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consumer class actions discussed above, the Company is currently named in numerous lawsuits in state and federal courts alleging some form of personal injury from the ingestion of the Company’s Products, purportedly due to unsafe and undisclosed levels of various naturally occurring heavy metals. These lawsuits generally allege injuries related to neurological development disorders such as autism and attention deficit hyperactivity disorder.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Multidistrict Litigation</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4, 2024, plaintiffs in federal cases across the country filed a Motion to Transfer Actions for Coordinated or Consolidated Pretrial Proceedings. On April 11, 2024, the United States Judicial Panel on Multidistrict Litigation granted plaintiffs’ motion and transferred the cases to the Northern District of California for coordinated or consolidated pretrial proceedings. On April 15, 2024, the court issued an order staying all outstanding discovery proceedings and pending motions and vacating all previously scheduled hearing dates. There are approximately 80 federal cases filed against the Company pending in the multi-district litigation (“MDL”). Plaintiffs filed their Master Complaint on July 15, 2024. On December 18, 2024, Defendants filed motions to dismiss the Master Complaint, which the Court granted in part and denied in part. The MDL is first proceeding with general causation discovery. Expert discovery is ongoing and Rule 702 briefing will proceed during the fall of 2025, with opening briefs due on September 26, 2025. The Court will hold a Rule 702 hearing during the week of December 8, 2025.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Baby Food California State Court Cases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currently seven personal injury cases against the Company pending in two California state Superior Courts relating to the same allegations regarding trace levels of heavy metals in the Products. These cases are now included in Judicial Council Coordinated Proceedings (“JCCP”). In June 2024, the cases were assigned a trial coordination judge. All but one of the cases have been stayed.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that case, Landon R. v. The Hain Celestial Group, Inc., et al., No. 23STCV24844, discovery has closed. The Court held hearings on the parties’ Sargon and Summary Judgment Motions on August 11-13, 2025. Trial is currently set for March 16, 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Palmquist v. The Hain Celestial Group</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a jury trial in February 2023 in the baby food-related matter Palmquist v. The Hain Celestial Group, Inc., the court granted the Company’s motion for a directed verdict, finding no liability for the Company. The Court entered Final Judgment in the Company’s favor on March 3, 2023.</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Plaintiffs appealed in the Fifth Circuit, and on May 28, 2024, the Fifth Circuit reversed the district court’s order denying Plaintiff’s motion to remand the case and vacated the final judgement of the district court. The Company filed a Petition for En Banc Reconsideration, which the Fifth Circuit denied. On January 7, 2025, the Company filed a Petition for a Writ of Certiorari in the United States Supreme Court. The Supreme Court granted the Petition on April 28, 2025. The Company filed its opening brief on June 26, 2025. Respondents filed their opposition brief on August 11, 2025 and the Company filed its Reply in September 2025. The Court will hear argument on November 4, 2025.</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case has been remanded to Texas state court, where it is now pending in the District Court of Brazoria County, Texas. Discovery is ongoing, but the trial has been continued pending a decision at the United States Supreme Court.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of the above-described baby food matters, the Company denies that its Products led to any of the alleged injuries and will defend these cases vigorously. That said, as is common in circumstances of this nature, additional lawsuits may be filed against the Company in the future, asserting similar or different legal theories and seeking similar or different types of damages and relief. Such lawsuits may be resolved in a manner adverse to us, and we may incur substantial costs or damages not covered by insurance, which could have a material adverse effect on our financial condition and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matters described above, the Company is and may be a defendant in lawsuits from time to time in the normal course of business.</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all litigation and related matters, the Company records a liability when the Company believes it is probable that a liability has been incurred and the amount can be reasonably estimated. As of the end of the period covered by this report, the Company has not recorded a liability for any of the matters disclosed in this note. It is possible that some matters could require the Company to pay damages, incur other costs or establish accruals in amounts that could not be reasonably estimated as of the end of the period covered by this report.</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19.</w:t>
      </w:r>
      <w:r>
        <w:rPr>
          <w:sz w:val="20"/>
          <w:szCs w:val="20"/>
          <w:color w:val="auto"/>
        </w:rPr>
        <w:tab/>
      </w:r>
      <w:r>
        <w:rPr>
          <w:rFonts w:ascii="Times New Roman" w:cs="Times New Roman" w:eastAsia="Times New Roman" w:hAnsi="Times New Roman"/>
          <w:sz w:val="17"/>
          <w:szCs w:val="17"/>
          <w:b w:val="1"/>
          <w:bCs w:val="1"/>
          <w:color w:val="auto"/>
        </w:rPr>
        <w:t>TRANSFORMATION PROGRAM</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year 2024, the Company initiated a multi-year growth, transformation and restructuring program (the “Restructuring Program”). The Restructuring Program is intended to optimize the Company’s portfolio, improve underlying profitability and increase its flexibility to invest in targeted growth initiatives, brand building and other capabilities critical to delivering future growth. The savings initiatives are expected to impact the Company’s reportable segments and Corporate and Other.</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Implementation of the Restructuring Program is expected to be completed by the end of the 2027 fiscal year and is comprised of contract termination costs, asset write-downs, employee-related costs and other transformation-related expenses.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fiscal year ended June 30, 2025, expenses associated with the Restructuring Program in the amount of $21,530, $2,685, and $1,599, respectively, were recorded in productivity and transformation costs, intangibles and long-lived asset impairment, and cost of sales, respectively, on the consolidated statements of operations. For the fiscal year ended June 30, 2024, expenses associated with the Restructuring Program in the amount of $27,741, $24,782 and $7,725 were recorded in productivity and transformation costs, intangibles and long-lived asset impairment, and cost of sales, respectively, on the consolidated statements of operations.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sets forth expenses associated with the Restructuring Program for the fiscal years ended June 30, 2025 and 2024 by reportable segment and Corporate and Other.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680" w:type="dxa"/>
            <w:vAlign w:val="bottom"/>
            <w:tcBorders>
              <w:bottom w:val="single" w:sz="8" w:color="auto"/>
            </w:tcBorders>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2"/>
                <w:szCs w:val="12"/>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gridSpan w:val="2"/>
            <w:shd w:val="clear" w:color="auto" w:fill="CFF0FC"/>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12,019</w:t>
            </w:r>
          </w:p>
        </w:tc>
        <w:tc>
          <w:tcPr>
            <w:tcW w:w="11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32,775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10,026</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20,753</w:t>
            </w: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3,769</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6,720</w:t>
            </w:r>
          </w:p>
        </w:tc>
      </w:tr>
      <w:tr>
        <w:trPr>
          <w:trHeight w:val="209"/>
        </w:trPr>
        <w:tc>
          <w:tcPr>
            <w:tcW w:w="7740" w:type="dxa"/>
            <w:vAlign w:val="bottom"/>
          </w:tcPr>
          <w:p>
            <w:pPr>
              <w:spacing w:after="0"/>
              <w:rPr>
                <w:sz w:val="18"/>
                <w:szCs w:val="18"/>
                <w:color w:val="auto"/>
              </w:rPr>
            </w:pPr>
          </w:p>
        </w:tc>
        <w:tc>
          <w:tcPr>
            <w:tcW w:w="9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25,814</w:t>
            </w:r>
          </w:p>
        </w:tc>
        <w:tc>
          <w:tcPr>
            <w:tcW w:w="11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60,248</w:t>
            </w: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activities and liability balances relating to the Restructuring Program for the fiscal years ended June 30, 2025 and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to pay the remaining accrued restructuring costs during the next 12 months.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260" w:type="dxa"/>
            <w:vAlign w:val="bottom"/>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40" w:type="dxa"/>
            <w:vAlign w:val="bottom"/>
          </w:tcPr>
          <w:p>
            <w:pPr>
              <w:spacing w:after="0"/>
              <w:rPr>
                <w:sz w:val="13"/>
                <w:szCs w:val="13"/>
                <w:color w:val="auto"/>
              </w:rPr>
            </w:pPr>
          </w:p>
        </w:tc>
        <w:tc>
          <w:tcPr>
            <w:tcW w:w="1300" w:type="dxa"/>
            <w:vAlign w:val="bottom"/>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0" w:type="dxa"/>
            <w:vAlign w:val="bottom"/>
          </w:tcPr>
          <w:p>
            <w:pPr>
              <w:spacing w:after="0"/>
              <w:rPr>
                <w:sz w:val="1"/>
                <w:szCs w:val="1"/>
                <w:color w:val="auto"/>
              </w:rPr>
            </w:pPr>
          </w:p>
        </w:tc>
      </w:tr>
      <w:tr>
        <w:trPr>
          <w:trHeight w:val="67"/>
        </w:trPr>
        <w:tc>
          <w:tcPr>
            <w:tcW w:w="4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Amounts Paid</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237"/>
              <w:spacing w:after="0" w:line="166" w:lineRule="exact"/>
              <w:rPr>
                <w:sz w:val="20"/>
                <w:szCs w:val="20"/>
                <w:color w:val="auto"/>
              </w:rPr>
            </w:pPr>
            <w:r>
              <w:rPr>
                <w:rFonts w:ascii="Times New Roman" w:cs="Times New Roman" w:eastAsia="Times New Roman" w:hAnsi="Times New Roman"/>
                <w:sz w:val="14"/>
                <w:szCs w:val="14"/>
                <w:b w:val="1"/>
                <w:bCs w:val="1"/>
                <w:color w:val="auto"/>
              </w:rPr>
              <w:t xml:space="preserve">settlements/ </w:t>
            </w:r>
            <w:r>
              <w:rPr>
                <w:rFonts w:ascii="Times New Roman" w:cs="Times New Roman" w:eastAsia="Times New Roman" w:hAnsi="Times New Roman"/>
                <w:sz w:val="19"/>
                <w:szCs w:val="19"/>
                <w:b w:val="1"/>
                <w:bCs w:val="1"/>
                <w:color w:val="auto"/>
                <w:vertAlign w:val="subscript"/>
              </w:rPr>
              <w:t>2</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right="236"/>
              <w:spacing w:after="0" w:line="99" w:lineRule="exact"/>
              <w:rPr>
                <w:sz w:val="20"/>
                <w:szCs w:val="20"/>
                <w:color w:val="auto"/>
              </w:rPr>
            </w:pPr>
            <w:r>
              <w:rPr>
                <w:rFonts w:ascii="Times New Roman" w:cs="Times New Roman" w:eastAsia="Times New Roman" w:hAnsi="Times New Roman"/>
                <w:sz w:val="11"/>
                <w:szCs w:val="11"/>
                <w:b w:val="1"/>
                <w:bCs w:val="1"/>
                <w:color w:val="auto"/>
              </w:rPr>
              <w:t>30, 2024</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jc w:val="center"/>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30, 2025</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costs</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1,985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8,297</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Asset write-downs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transformation-related expenses</w:t>
            </w:r>
            <w:r>
              <w:rPr>
                <w:rFonts w:ascii="Times New Roman" w:cs="Times New Roman" w:eastAsia="Times New Roman" w:hAnsi="Times New Roman"/>
                <w:sz w:val="24"/>
                <w:szCs w:val="24"/>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3,988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13,243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50"/>
        </w:trPr>
        <w:tc>
          <w:tcPr>
            <w:tcW w:w="4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6,320</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25,814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3,018</w:t>
            </w:r>
          </w:p>
        </w:tc>
        <w:tc>
          <w:tcPr>
            <w:tcW w:w="0" w:type="dxa"/>
            <w:vAlign w:val="bottom"/>
          </w:tcPr>
          <w:p>
            <w:pPr>
              <w:spacing w:after="0"/>
              <w:rPr>
                <w:sz w:val="1"/>
                <w:szCs w:val="1"/>
                <w:color w:val="auto"/>
              </w:rPr>
            </w:pPr>
          </w:p>
        </w:tc>
      </w:tr>
      <w:tr>
        <w:trPr>
          <w:trHeight w:val="320"/>
        </w:trPr>
        <w:tc>
          <w:tcPr>
            <w:tcW w:w="424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1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Non-cash</w:t>
            </w:r>
          </w:p>
        </w:tc>
        <w:tc>
          <w:tcPr>
            <w:tcW w:w="140" w:type="dxa"/>
            <w:vAlign w:val="bottom"/>
            <w:tcBorders>
              <w:top w:val="single" w:sz="8" w:color="CFF0FC"/>
            </w:tcBorders>
          </w:tcPr>
          <w:p>
            <w:pPr>
              <w:spacing w:after="0"/>
              <w:rPr>
                <w:sz w:val="24"/>
                <w:szCs w:val="24"/>
                <w:color w:val="auto"/>
              </w:rPr>
            </w:pPr>
          </w:p>
        </w:tc>
        <w:tc>
          <w:tcPr>
            <w:tcW w:w="1300" w:type="dxa"/>
            <w:vAlign w:val="bottom"/>
            <w:tcBorders>
              <w:top w:val="single" w:sz="8" w:color="auto"/>
            </w:tcBorders>
            <w:gridSpan w:val="2"/>
            <w:vMerge w:val="restart"/>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at June</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Amounts Paid</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vMerge w:val="restart"/>
          </w:tcPr>
          <w:p>
            <w:pPr>
              <w:jc w:val="right"/>
              <w:ind w:right="237"/>
              <w:spacing w:after="0" w:line="166" w:lineRule="exact"/>
              <w:rPr>
                <w:sz w:val="20"/>
                <w:szCs w:val="20"/>
                <w:color w:val="auto"/>
              </w:rPr>
            </w:pPr>
            <w:r>
              <w:rPr>
                <w:rFonts w:ascii="Times New Roman" w:cs="Times New Roman" w:eastAsia="Times New Roman" w:hAnsi="Times New Roman"/>
                <w:sz w:val="14"/>
                <w:szCs w:val="14"/>
                <w:b w:val="1"/>
                <w:bCs w:val="1"/>
                <w:color w:val="auto"/>
              </w:rPr>
              <w:t xml:space="preserve">settlements/ </w:t>
            </w:r>
            <w:r>
              <w:rPr>
                <w:rFonts w:ascii="Times New Roman" w:cs="Times New Roman" w:eastAsia="Times New Roman" w:hAnsi="Times New Roman"/>
                <w:sz w:val="19"/>
                <w:szCs w:val="19"/>
                <w:b w:val="1"/>
                <w:bCs w:val="1"/>
                <w:color w:val="auto"/>
                <w:vertAlign w:val="subscript"/>
              </w:rPr>
              <w:t>2</w:t>
            </w:r>
          </w:p>
        </w:tc>
        <w:tc>
          <w:tcPr>
            <w:tcW w:w="14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right="236"/>
              <w:spacing w:after="0" w:line="99" w:lineRule="exact"/>
              <w:rPr>
                <w:sz w:val="20"/>
                <w:szCs w:val="20"/>
                <w:color w:val="auto"/>
              </w:rPr>
            </w:pPr>
            <w:r>
              <w:rPr>
                <w:rFonts w:ascii="Times New Roman" w:cs="Times New Roman" w:eastAsia="Times New Roman" w:hAnsi="Times New Roman"/>
                <w:sz w:val="11"/>
                <w:szCs w:val="11"/>
                <w:b w:val="1"/>
                <w:bCs w:val="1"/>
                <w:color w:val="auto"/>
              </w:rPr>
              <w:t>30, 2023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jc w:val="center"/>
              <w:ind w:right="256"/>
              <w:spacing w:after="0" w:line="99" w:lineRule="exact"/>
              <w:rPr>
                <w:sz w:val="20"/>
                <w:szCs w:val="20"/>
                <w:color w:val="auto"/>
              </w:rPr>
            </w:pPr>
            <w:r>
              <w:rPr>
                <w:rFonts w:ascii="Times New Roman" w:cs="Times New Roman" w:eastAsia="Times New Roman" w:hAnsi="Times New Roman"/>
                <w:sz w:val="11"/>
                <w:szCs w:val="11"/>
                <w:b w:val="1"/>
                <w:bCs w:val="1"/>
                <w:color w:val="auto"/>
              </w:rPr>
              <w:t>30, 2024</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Employee-related costs</w:t>
            </w:r>
            <w:r>
              <w:rPr>
                <w:rFonts w:ascii="Times New Roman" w:cs="Times New Roman" w:eastAsia="Times New Roman" w:hAnsi="Times New Roman"/>
                <w:sz w:val="24"/>
                <w:szCs w:val="24"/>
                <w:color w:val="auto"/>
                <w:vertAlign w:val="superscript"/>
              </w:rPr>
              <w:t>3</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7,012</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00" w:type="dxa"/>
            <w:vAlign w:val="bottom"/>
          </w:tcPr>
          <w:p>
            <w:pPr>
              <w:spacing w:after="0"/>
              <w:rPr>
                <w:sz w:val="18"/>
                <w:szCs w:val="18"/>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Asset write-downs</w:t>
            </w:r>
            <w:r>
              <w:rPr>
                <w:rFonts w:ascii="Times New Roman" w:cs="Times New Roman" w:eastAsia="Times New Roman" w:hAnsi="Times New Roman"/>
                <w:sz w:val="24"/>
                <w:szCs w:val="24"/>
                <w:color w:val="auto"/>
                <w:vertAlign w:val="superscript"/>
              </w:rPr>
              <w:t>1</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26,922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transformation-related expenses</w:t>
            </w:r>
            <w:r>
              <w:rPr>
                <w:rFonts w:ascii="Times New Roman" w:cs="Times New Roman" w:eastAsia="Times New Roman" w:hAnsi="Times New Roman"/>
                <w:sz w:val="24"/>
                <w:szCs w:val="24"/>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20,875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3,988</w:t>
            </w:r>
          </w:p>
        </w:tc>
        <w:tc>
          <w:tcPr>
            <w:tcW w:w="0" w:type="dxa"/>
            <w:vAlign w:val="bottom"/>
          </w:tcPr>
          <w:p>
            <w:pPr>
              <w:spacing w:after="0"/>
              <w:rPr>
                <w:sz w:val="1"/>
                <w:szCs w:val="1"/>
                <w:color w:val="auto"/>
              </w:rPr>
            </w:pPr>
          </w:p>
        </w:tc>
      </w:tr>
      <w:tr>
        <w:trPr>
          <w:trHeight w:val="229"/>
        </w:trPr>
        <w:tc>
          <w:tcPr>
            <w:tcW w:w="4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60,248</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(27,292)</w:t>
            </w:r>
          </w:p>
        </w:tc>
        <w:tc>
          <w:tcPr>
            <w:tcW w:w="3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6,320</w:t>
            </w:r>
          </w:p>
        </w:tc>
        <w:tc>
          <w:tcPr>
            <w:tcW w:w="0" w:type="dxa"/>
            <w:vAlign w:val="bottom"/>
          </w:tcPr>
          <w:p>
            <w:pPr>
              <w:spacing w:after="0"/>
              <w:rPr>
                <w:sz w:val="1"/>
                <w:szCs w:val="1"/>
                <w:color w:val="auto"/>
              </w:rPr>
            </w:pPr>
          </w:p>
        </w:tc>
      </w:tr>
      <w:tr>
        <w:trPr>
          <w:trHeight w:val="20"/>
        </w:trPr>
        <w:tc>
          <w:tcPr>
            <w:tcW w:w="4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-1174115</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-1156970</wp:posOffset>
            </wp:positionV>
            <wp:extent cx="857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-1174115</wp:posOffset>
            </wp:positionV>
            <wp:extent cx="857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-1156970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-1174115</wp:posOffset>
            </wp:positionV>
            <wp:extent cx="857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-1156970</wp:posOffset>
            </wp:positionV>
            <wp:extent cx="857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-1174115</wp:posOffset>
            </wp:positionV>
            <wp:extent cx="8572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-1156970</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-25400</wp:posOffset>
            </wp:positionV>
            <wp:extent cx="8572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-8255</wp:posOffset>
            </wp:positionV>
            <wp:extent cx="8572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-25400</wp:posOffset>
            </wp:positionV>
            <wp:extent cx="8572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85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-8255</wp:posOffset>
            </wp:positionV>
            <wp:extent cx="857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857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8572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8"/>
          <w:szCs w:val="18"/>
          <w:i w:val="1"/>
          <w:iCs w:val="1"/>
          <w:color w:val="auto"/>
        </w:rPr>
        <w:t>Represents non-cash asset write-downs including asset impairment and accelerated depreciation.</w:t>
      </w:r>
    </w:p>
    <w:p>
      <w:pPr>
        <w:spacing w:after="0" w:line="12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8"/>
          <w:szCs w:val="18"/>
          <w:i w:val="1"/>
          <w:iCs w:val="1"/>
          <w:color w:val="auto"/>
        </w:rPr>
        <w:t>Other transformation-related expenses primarily include consultancy charges related to reorganization of global functions and related personnel resource requirements, and rationalizing sourcing and supply chain processes.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3</w:t>
      </w:r>
      <w:r>
        <w:rPr>
          <w:rFonts w:ascii="Times New Roman" w:cs="Times New Roman" w:eastAsia="Times New Roman" w:hAnsi="Times New Roman"/>
          <w:sz w:val="18"/>
          <w:szCs w:val="18"/>
          <w:i w:val="1"/>
          <w:iCs w:val="1"/>
          <w:color w:val="auto"/>
        </w:rPr>
        <w:t>Employee-related costs include $1,130 severance related to executive officer succession.</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20.</w:t>
      </w:r>
      <w:r>
        <w:rPr>
          <w:sz w:val="20"/>
          <w:szCs w:val="20"/>
          <w:color w:val="auto"/>
        </w:rPr>
        <w:tab/>
      </w:r>
      <w:r>
        <w:rPr>
          <w:rFonts w:ascii="Times New Roman" w:cs="Times New Roman" w:eastAsia="Times New Roman" w:hAnsi="Times New Roman"/>
          <w:sz w:val="17"/>
          <w:szCs w:val="17"/>
          <w:b w:val="1"/>
          <w:bCs w:val="1"/>
          <w:color w:val="auto"/>
        </w:rPr>
        <w:t>DEFINED CONTRIBUTION PLANS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 401(k) Employee Retirement Plan (the “Plan”) to provide retirement benefits for eligible employees. All full-time employees of the Company and its wholly-owned domestic subsidiaries are eligible to participate upon completion of 30 days of service. On an annual basis, the Company may, in its sole discretion, make certain matching contributions. For the fiscal years ended June 30, 2025, 2024 and 2023, the Company made contributions to the Plan of $2,441, $2,560 and $2,307, respectively, and recorded retirement plan expense in the amount of $2,547, $2,675 and $2,457, respectively. In addition, while certain of the Company’s international subsidiaries maintain separate defined contribution plans for their employees, except for the U.K., the amounts are not significant to the Company’s consolidated financial statements.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U.K. subsidiaries offer an auto-enrollment defined contribution plan to all employees. Employees must be aged 22 or over but under the State Pension age and have earned over £10. Employees outside of these criteria have the option to opt-in. Employees must contribute a minimum percentage to the plan and the U.K. subsidiaries make matching contributions. For the fiscal years ended June 30, 2025, 2024 and 2023, there were contributions and retirement plan expense recorded in the amount of $2,715, $2,421 and $2,096, respectively.</w:t>
      </w:r>
    </w:p>
    <w:p>
      <w:pPr>
        <w:spacing w:after="0" w:line="13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organizational structure consists of two geographic based reportable segments: North America and International, which are also the operating segments. This structure is in line with how the Company’s Chief Operating Decision Maker (“CODM”) assesses the Company’s performance and allocates resources. The Interim President and Chief Executive Officer is the CODM of the Company. The Company’s measure of segment profitability is Adjusted EBITDA of each reportable segment and also uses net sales in order to analyze segment results, trends and allocate resources. On a monthly basis, the CODM reviews how actual results compare to forecasts and prior periods when making decisions regarding strategic initiatives and capital investments to segments.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Segment Adjusted EBITDA excludes: net interest expense, income taxes, depreciation and amortization, equity in net loss of equity-method investees, stock-based compensation, net, unrealized and certain realized currency losses, certain litigation and related costs, plant closure related costs, net, productivity and transformation costs, warehouse and manufacturing consolidation and other costs, net, costs associated with acquisitions, divestitures and other transactions, (gain) loss on sale of assets, intangibles and long-lived asset impairments and other adjustments. In addition, Segment Adjusted EBITDA does not include Corporate and Other expenses related to the Company’s centralized administrative functions, which do not specifically relate to a reportable segment. Such Corporate and Other expenses are comprised mainly of compensation and related expenses of certain of the Company’s senior executive officers and other employees who perform duties related to the entire enterprise, litigation expense and expenses for certain professional fees, facilities, and other items which benefit the Company as a whole.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tables set forth financial information about each of the Company’s reportable segment’s revenue, significant segment expenses and measure of segment profit or loss for the fiscal years ended June 30, 2025, 2024 and 2023. Information about total assets by segment is not disclosed because such information is not reported to or used by the Company’s CODM for purposes of assessing segment performance or allocating resources. Transactions between reportable segments were insignificant for all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6640" w:type="dxa"/>
            <w:vAlign w:val="bottom"/>
            <w:gridSpan w:val="8"/>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21"/>
        </w:trPr>
        <w:tc>
          <w:tcPr>
            <w:tcW w:w="740" w:type="dxa"/>
            <w:vAlign w:val="bottom"/>
            <w:tcBorders>
              <w:top w:val="single" w:sz="8" w:color="auto"/>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888,626</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1,055,527</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1,139,162</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671,154</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680,759</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657,481</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1,559,780</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1,736,286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1,796,643</w:t>
            </w:r>
          </w:p>
        </w:tc>
      </w:tr>
      <w:tr>
        <w:trPr>
          <w:trHeight w:val="189"/>
        </w:trPr>
        <w:tc>
          <w:tcPr>
            <w:tcW w:w="4120" w:type="dxa"/>
            <w:vAlign w:val="bottom"/>
            <w:tcBorders>
              <w:bottom w:val="single" w:sz="8" w:color="auto"/>
            </w:tcBorders>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Cost of sales, adjusted to exclude restructuring activities:</w:t>
            </w:r>
          </w:p>
        </w:tc>
        <w:tc>
          <w:tcPr>
            <w:tcW w:w="2520" w:type="dxa"/>
            <w:vAlign w:val="bottom"/>
            <w:tcBorders>
              <w:bottom w:val="single" w:sz="8" w:color="CFF0FC"/>
            </w:tcBorders>
            <w:gridSpan w:val="2"/>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(693,951)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(816,680)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(875,608)</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(530,006)</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(529,812)</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(523,512)</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(1,223,957)</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(1,346,492)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(1,399,120)</w:t>
            </w:r>
          </w:p>
        </w:tc>
      </w:tr>
      <w:tr>
        <w:trPr>
          <w:trHeight w:val="189"/>
        </w:trPr>
        <w:tc>
          <w:tcPr>
            <w:tcW w:w="1440" w:type="dxa"/>
            <w:vAlign w:val="bottom"/>
            <w:tcBorders>
              <w:bottom w:val="single" w:sz="8" w:color="auto"/>
            </w:tcBorders>
            <w:gridSpan w:val="2"/>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Marketing expense:</w:t>
            </w:r>
          </w:p>
        </w:tc>
        <w:tc>
          <w:tcPr>
            <w:tcW w:w="5200" w:type="dxa"/>
            <w:vAlign w:val="bottom"/>
            <w:tcBorders>
              <w:bottom w:val="single" w:sz="8" w:color="CFF0FC"/>
            </w:tcBorders>
            <w:gridSpan w:val="6"/>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(18,760)</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(18,355)</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(17,833)</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(60,222)</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(63,649)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(63,663)</w:t>
            </w:r>
          </w:p>
        </w:tc>
      </w:tr>
      <w:tr>
        <w:trPr>
          <w:trHeight w:val="169"/>
        </w:trPr>
        <w:tc>
          <w:tcPr>
            <w:tcW w:w="6120" w:type="dxa"/>
            <w:vAlign w:val="bottom"/>
            <w:tcBorders>
              <w:bottom w:val="single" w:sz="8" w:color="auto"/>
            </w:tcBorders>
            <w:gridSpan w:val="7"/>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Other selling, general and administrative expenses, adjusted to exclude restructuring</w:t>
            </w:r>
          </w:p>
        </w:tc>
        <w:tc>
          <w:tcPr>
            <w:tcW w:w="5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CFF0FC"/>
            </w:tcBorders>
            <w:shd w:val="clear" w:color="auto" w:fill="CFF0FC"/>
          </w:tcPr>
          <w:p>
            <w:pPr>
              <w:spacing w:after="0"/>
              <w:rPr>
                <w:sz w:val="14"/>
                <w:szCs w:val="14"/>
                <w:color w:val="auto"/>
              </w:rPr>
            </w:pPr>
          </w:p>
        </w:tc>
      </w:tr>
      <w:tr>
        <w:trPr>
          <w:trHeight w:val="216"/>
        </w:trPr>
        <w:tc>
          <w:tcPr>
            <w:tcW w:w="6640" w:type="dxa"/>
            <w:vAlign w:val="bottom"/>
            <w:gridSpan w:val="8"/>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activities and depreciation and amortization:</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32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440" w:type="dxa"/>
            <w:vAlign w:val="bottom"/>
            <w:tcBorders>
              <w:top w:val="single" w:sz="8" w:color="CFF0FC"/>
            </w:tcBorders>
            <w:gridSpan w:val="4"/>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(112,728)</w:t>
            </w: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(117,277)</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(64,323)</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(64,514)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(62,708)</w:t>
            </w: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(167,190)</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(177,242)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(179,985)</w:t>
            </w:r>
          </w:p>
        </w:tc>
      </w:tr>
      <w:tr>
        <w:trPr>
          <w:trHeight w:val="190"/>
        </w:trPr>
        <w:tc>
          <w:tcPr>
            <w:tcW w:w="3880" w:type="dxa"/>
            <w:vAlign w:val="bottom"/>
            <w:tcBorders>
              <w:bottom w:val="single" w:sz="8" w:color="auto"/>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Depreciation and amortization and other adjustments:</w:t>
            </w:r>
          </w:p>
        </w:tc>
        <w:tc>
          <w:tcPr>
            <w:tcW w:w="2760" w:type="dxa"/>
            <w:vAlign w:val="bottom"/>
            <w:tcBorders>
              <w:bottom w:val="single" w:sz="8" w:color="CFF0FC"/>
            </w:tcBorders>
            <w:gridSpan w:val="3"/>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shd w:val="clear" w:color="auto" w:fill="CFF0FC"/>
          </w:tcPr>
          <w:p>
            <w:pPr>
              <w:spacing w:after="0"/>
              <w:rPr>
                <w:sz w:val="16"/>
                <w:szCs w:val="16"/>
                <w:color w:val="auto"/>
              </w:rPr>
            </w:pP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22,996</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26,896</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29,517</w:t>
            </w:r>
          </w:p>
        </w:tc>
      </w:tr>
      <w:tr>
        <w:trPr>
          <w:trHeight w:val="209"/>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43,059</w:t>
            </w:r>
          </w:p>
        </w:tc>
        <w:tc>
          <w:tcPr>
            <w:tcW w:w="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52,513</w:t>
            </w:r>
          </w:p>
        </w:tc>
      </w:tr>
      <w:tr>
        <w:trPr>
          <w:trHeight w:val="190"/>
        </w:trPr>
        <w:tc>
          <w:tcPr>
            <w:tcW w:w="6640" w:type="dxa"/>
            <w:vAlign w:val="bottom"/>
            <w:gridSpan w:val="8"/>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Segment Adjusted EBITDA:</w:t>
            </w: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16"/>
        </w:trPr>
        <w:tc>
          <w:tcPr>
            <w:tcW w:w="20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4560" w:type="dxa"/>
            <w:vAlign w:val="bottom"/>
            <w:tcBorders>
              <w:top w:val="single" w:sz="8" w:color="CFF0FC"/>
            </w:tcBorders>
            <w:gridSpan w:val="5"/>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65,470</w:t>
            </w: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98,728</w:t>
            </w:r>
          </w:p>
        </w:tc>
        <w:tc>
          <w:tcPr>
            <w:tcW w:w="10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rPr>
              <w:t>123,443</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86,000</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94,974</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82,945</w:t>
            </w:r>
          </w:p>
        </w:tc>
      </w:tr>
      <w:tr>
        <w:trPr>
          <w:trHeight w:val="210"/>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Total Reportable Segments Adjusted EBITDA</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151,470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206,388</w:t>
            </w:r>
          </w:p>
        </w:tc>
      </w:tr>
      <w:tr>
        <w:trPr>
          <w:trHeight w:val="216"/>
        </w:trPr>
        <w:tc>
          <w:tcPr>
            <w:tcW w:w="6640" w:type="dxa"/>
            <w:vAlign w:val="bottom"/>
            <w:tcBorders>
              <w:bottom w:val="single" w:sz="8" w:color="CFF0FC"/>
            </w:tcBorders>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(37,681)</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(39,180)</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(39,766)</w:t>
            </w:r>
          </w:p>
        </w:tc>
      </w:tr>
      <w:tr>
        <w:trPr>
          <w:trHeight w:val="210"/>
        </w:trPr>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113,789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154,522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166,622</w:t>
            </w:r>
          </w:p>
        </w:tc>
      </w:tr>
      <w:tr>
        <w:trPr>
          <w:trHeight w:val="216"/>
        </w:trPr>
        <w:tc>
          <w:tcPr>
            <w:tcW w:w="66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(44,665)</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(50,777)</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Equity in net loss of equity-method investees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16"/>
        </w:trPr>
        <w:tc>
          <w:tcPr>
            <w:tcW w:w="66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(47,773)</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(43,936)</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14,178</w:t>
            </w:r>
          </w:p>
        </w:tc>
      </w:tr>
      <w:tr>
        <w:trPr>
          <w:trHeight w:val="216"/>
        </w:trPr>
        <w:tc>
          <w:tcPr>
            <w:tcW w:w="66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(8,149)</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(14,423)</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Unrealized and certain realized currency losses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16"/>
        </w:trPr>
        <w:tc>
          <w:tcPr>
            <w:tcW w:w="6640" w:type="dxa"/>
            <w:vAlign w:val="bottom"/>
            <w:gridSpan w:val="8"/>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Certain litigation expenses, net</w:t>
            </w:r>
            <w:r>
              <w:rPr>
                <w:rFonts w:ascii="Times New Roman" w:cs="Times New Roman" w:eastAsia="Times New Roman" w:hAnsi="Times New Roman"/>
                <w:sz w:val="24"/>
                <w:szCs w:val="24"/>
                <w:color w:val="auto"/>
                <w:vertAlign w:val="superscript"/>
              </w:rPr>
              <w:t>(a)</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(7,262)</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1,369</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Productivity and transformation costs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(27,741)</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(7,284)</w:t>
            </w:r>
          </w:p>
        </w:tc>
      </w:tr>
      <w:tr>
        <w:trPr>
          <w:trHeight w:val="216"/>
        </w:trPr>
        <w:tc>
          <w:tcPr>
            <w:tcW w:w="66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Plant closure related costs, net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664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Warehouse/manufacturing consolidation and other costs,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CEO succession</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6640" w:type="dxa"/>
            <w:vAlign w:val="bottom"/>
            <w:gridSpan w:val="8"/>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 divestitures and other</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Gain (loss) on sale of assets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3,529</w:t>
            </w:r>
          </w:p>
        </w:tc>
      </w:tr>
      <w:tr>
        <w:trPr>
          <w:trHeight w:val="216"/>
        </w:trPr>
        <w:tc>
          <w:tcPr>
            <w:tcW w:w="664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and integration costs, net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6"/>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Impairment charges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6640" w:type="dxa"/>
            <w:vAlign w:val="bottom"/>
            <w:gridSpan w:val="8"/>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(428,882)</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rPr>
              <w:t>Intangibles and long-lived asset impairment</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(76,143)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(175,501)</w:t>
            </w:r>
          </w:p>
        </w:tc>
      </w:tr>
      <w:tr>
        <w:trPr>
          <w:trHeight w:val="216"/>
        </w:trPr>
        <w:tc>
          <w:tcPr>
            <w:tcW w:w="6640" w:type="dxa"/>
            <w:vAlign w:val="bottom"/>
            <w:tcBorders>
              <w:bottom w:val="single" w:sz="8" w:color="CFF0FC"/>
            </w:tcBorders>
            <w:gridSpan w:val="8"/>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(530,841)</w:t>
            </w: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(75,042)</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(116,537)</w:t>
            </w: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-6171565</wp:posOffset>
            </wp:positionV>
            <wp:extent cx="1028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-6171565</wp:posOffset>
            </wp:positionV>
            <wp:extent cx="939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-5605780</wp:posOffset>
            </wp:positionV>
            <wp:extent cx="1028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-5605780</wp:posOffset>
            </wp:positionV>
            <wp:extent cx="939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-5039995</wp:posOffset>
            </wp:positionV>
            <wp:extent cx="10287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-5039995</wp:posOffset>
            </wp:positionV>
            <wp:extent cx="939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-4337050</wp:posOffset>
            </wp:positionV>
            <wp:extent cx="1028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-4337050</wp:posOffset>
            </wp:positionV>
            <wp:extent cx="939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-3771265</wp:posOffset>
            </wp:positionV>
            <wp:extent cx="1028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-3771265</wp:posOffset>
            </wp:positionV>
            <wp:extent cx="939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-3205480</wp:posOffset>
            </wp:positionV>
            <wp:extent cx="1028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-3205480</wp:posOffset>
            </wp:positionV>
            <wp:extent cx="939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-2922270</wp:posOffset>
            </wp:positionV>
            <wp:extent cx="1028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-2922270</wp:posOffset>
            </wp:positionV>
            <wp:extent cx="939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92"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22"/>
          <w:szCs w:val="22"/>
          <w:i w:val="1"/>
          <w:iCs w:val="1"/>
          <w:color w:val="auto"/>
          <w:vertAlign w:val="superscript"/>
        </w:rPr>
      </w:pPr>
      <w:r>
        <w:rPr>
          <w:rFonts w:ascii="Times New Roman" w:cs="Times New Roman" w:eastAsia="Times New Roman" w:hAnsi="Times New Roman"/>
          <w:sz w:val="17"/>
          <w:szCs w:val="17"/>
          <w:i w:val="1"/>
          <w:iCs w:val="1"/>
          <w:color w:val="auto"/>
        </w:rPr>
        <w:t>Expenses and items relating to securities class action, baby food litigation and SEC investigation.</w:t>
      </w:r>
    </w:p>
    <w:p>
      <w:pPr>
        <w:sectPr>
          <w:pgSz w:w="11900" w:h="16838" w:orient="portrait"/>
          <w:cols w:equalWidth="0" w:num="1">
            <w:col w:w="11240"/>
          </w:cols>
          <w:pgMar w:left="320" w:top="117"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Snacks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371,012</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463,261</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486,411</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Baby &amp; Kids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252,481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284,834</w:t>
            </w:r>
          </w:p>
        </w:tc>
      </w:tr>
      <w:tr>
        <w:trPr>
          <w:trHeight w:val="216"/>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Beverages</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245,147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253,008</w:t>
            </w: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239,199</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Meal Preparation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662,116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653,114</w:t>
            </w: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3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62,562</w:t>
            </w:r>
          </w:p>
        </w:tc>
        <w:tc>
          <w:tcPr>
            <w:tcW w:w="1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105,420</w:t>
            </w: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133,085</w:t>
            </w:r>
          </w:p>
        </w:tc>
      </w:tr>
      <w:tr>
        <w:trPr>
          <w:trHeight w:val="209"/>
        </w:trPr>
        <w:tc>
          <w:tcPr>
            <w:tcW w:w="664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1,559,780</w:t>
            </w:r>
          </w:p>
        </w:tc>
        <w:tc>
          <w:tcPr>
            <w:tcW w:w="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1,736,286</w:t>
            </w:r>
          </w:p>
        </w:tc>
        <w:tc>
          <w:tcPr>
            <w:tcW w:w="10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1,796,643</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sales by geographic region, which are generally based on the location of the Company’s subsidiary,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39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777,605</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940,367</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1,025,988</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497,150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477,400</w:t>
            </w: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2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179,108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183,609</w:t>
            </w:r>
          </w:p>
        </w:tc>
        <w:tc>
          <w:tcPr>
            <w:tcW w:w="1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180,080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111,021</w:t>
            </w:r>
          </w:p>
        </w:tc>
        <w:tc>
          <w:tcPr>
            <w:tcW w:w="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115,160</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113,175</w:t>
            </w:r>
          </w:p>
        </w:tc>
      </w:tr>
      <w:tr>
        <w:trPr>
          <w:trHeight w:val="229"/>
        </w:trPr>
        <w:tc>
          <w:tcPr>
            <w:tcW w:w="3920" w:type="dxa"/>
            <w:vAlign w:val="bottom"/>
            <w:shd w:val="clear" w:color="auto" w:fill="CFF0FC"/>
          </w:tcPr>
          <w:p>
            <w:pPr>
              <w:spacing w:after="0"/>
              <w:rPr>
                <w:sz w:val="19"/>
                <w:szCs w:val="19"/>
                <w:color w:val="auto"/>
              </w:rPr>
            </w:pPr>
          </w:p>
        </w:tc>
        <w:tc>
          <w:tcPr>
            <w:tcW w:w="3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1,559,780</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1,736,286</w:t>
            </w:r>
          </w:p>
        </w:tc>
        <w:tc>
          <w:tcPr>
            <w:tcW w:w="1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1,796,643</w:t>
            </w: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27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10287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10287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long-lived assets, which primarily represent property, plant and equipment, net and operating lease right-of-use assets, net by geographic region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Fiscal Year Ended June 30,</w:t>
            </w:r>
          </w:p>
        </w:tc>
        <w:tc>
          <w:tcPr>
            <w:tcW w:w="720" w:type="dxa"/>
            <w:vAlign w:val="bottom"/>
            <w:tcBorders>
              <w:bottom w:val="single" w:sz="8" w:color="auto"/>
            </w:tcBorders>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r>
      <w:tr>
        <w:trPr>
          <w:trHeight w:val="210"/>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200" w:type="dxa"/>
            <w:vAlign w:val="bottom"/>
            <w:gridSpan w:val="2"/>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129,558</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137,398</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129,799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125,945</w:t>
            </w:r>
          </w:p>
        </w:tc>
      </w:tr>
      <w:tr>
        <w:trPr>
          <w:trHeight w:val="216"/>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Western Europe</w:t>
            </w:r>
          </w:p>
        </w:tc>
        <w:tc>
          <w:tcPr>
            <w:tcW w:w="3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65,491</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66,785</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2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11,053</w:t>
            </w:r>
          </w:p>
        </w:tc>
        <w:tc>
          <w:tcPr>
            <w:tcW w:w="1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18,236</w:t>
            </w:r>
          </w:p>
        </w:tc>
      </w:tr>
      <w:tr>
        <w:trPr>
          <w:trHeight w:val="230"/>
        </w:trPr>
        <w:tc>
          <w:tcPr>
            <w:tcW w:w="4480" w:type="dxa"/>
            <w:vAlign w:val="bottom"/>
            <w:shd w:val="clear" w:color="auto" w:fill="CFF0FC"/>
          </w:tcPr>
          <w:p>
            <w:pPr>
              <w:spacing w:after="0"/>
              <w:rPr>
                <w:sz w:val="19"/>
                <w:szCs w:val="19"/>
                <w:color w:val="auto"/>
              </w:rPr>
            </w:pPr>
          </w:p>
        </w:tc>
        <w:tc>
          <w:tcPr>
            <w:tcW w:w="3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335,901</w:t>
            </w:r>
          </w:p>
        </w:tc>
        <w:tc>
          <w:tcPr>
            <w:tcW w:w="11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348,364</w:t>
            </w:r>
          </w:p>
        </w:tc>
      </w:tr>
      <w:tr>
        <w:trPr>
          <w:trHeight w:val="20"/>
        </w:trPr>
        <w:tc>
          <w:tcPr>
            <w:tcW w:w="448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Interim Chief Executive Officer (“CEO”) and Chief Financial Officer (“CFO”), with the assistance of other members of management, have performed an evaluation of the effectiveness of our disclosure controls and procedures (as defined in Rules 13a-15(e) and 15d-15(e) under the Exchange Act) as of June 30, 2025. Based on this evaluation, our CEO and CFO have concluded that as of June 30, 2025, the Company’s disclosure controls and procedures were not effective due to the material weakness described below under “Management’s Report on Internal Control Over Financial Reporting.”</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material weakness, and based on the additional analyses and other procedures to ensure that our consolidated financial statements were prepared in accordance with U.S. GAAP, our management believes that the consolidated financial statements included in this Annual Report on Form 10-K fairly present, in all material respects, our financial condition, results of operations and cash flows as of the dates, and for the periods presented, in conformity with U.S. GAAP.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as such term is defined in Rule 13a-15(f) of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(3) provide reasonable assurance regarding prevention or timely detection of unauthorized acquisition, use or disposition of assets of the Company that could have a material effect on the financial statements.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management, including the CEO and CFO, we conducted an evaluation of the effectiveness of internal control over financial reporting as of June 30, 2025. In making this assessment, management used the criteria established in Internal Control-Integrated Framework (2013) issued by the Committee of Sponsoring Organizations of the Treadway Commission (“COSO”). Based on this assessment, management, including the Company’s CEO and CFO, has concluded that our internal control over financial reporting was not effective as of June 30, 2025, due to the below described material weakness. Additionally, the material weakness was not a contributing factor to the impairments in the carrying value of goodwill and indefinite-lived intangible assets recorded during the fourth quarter of fiscal year 2025.</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in our annual or interim financial statements will not be prevented or detected on a timely basis. Specifically, the Company did not design and operate effective controls as of June 30, 2025 to review on a timely basis and in sufficient detail the projected financial information and certain key assumptions and underlying calculations used in goodwill and indefinite-lived intangible asset quantitative impairment tests that were performed throughout the year.</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control deficiencies did not result in a material misstatement of the impairment losses in the interim or annual consolidated financial statements and there were no changes to previously issued financial statements. Notwithstanding the material weakness, we have concluded that the financial statements and other financial information included in this Annual Report fairly present, in all material respects, our financial condition, results of operations and cash flows for the periods presented in conformity with U.S. GAAP. The Company is in process of remediating this material weakness.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 identified, with the oversight of the Audit Committee of our Board of Directors, we are conducting a detailed review and performing remediation activities to design and implement management review controls to ensure that control objectives are met. While we believe that our efforts to date have improved our internal control over financial reporting, the full impact of these changes had not been realized by June 30, 2025, and certain remediation activities are continuing</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take place. The material weakness in our internal control over financial reporting will not be considered remediated until the remediated controls operate for a sufficient period of time and management has concluded, through testing, that these controls are operating effectively.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June 30, 2025 has been audited by Ernst &amp; Young LLP, an independent registered public accounting firm, as stated in their report which appears herein.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the changes described above, there were no changes in internal controls over financial reporting that occurred during the quarter ended June 30, 2025 that have materially affected, or are reasonably likely to materially affect, internal control over financial reporting.</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360" w:firstLine="3362"/>
        <w:spacing w:after="0" w:line="46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The Hain Celestial Group, Inc. </w:t>
      </w:r>
      <w:r>
        <w:rPr>
          <w:rFonts w:ascii="Times New Roman" w:cs="Times New Roman" w:eastAsia="Times New Roman" w:hAnsi="Times New Roman"/>
          <w:sz w:val="18"/>
          <w:szCs w:val="18"/>
          <w:b w:val="1"/>
          <w:bCs w:val="1"/>
          <w:color w:val="auto"/>
        </w:rPr>
        <w:t>Opinion on Internal Control Over Financial Reporting</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Hain Celestial Group, Inc. and subsidiaries’ internal control over financial reporting as of June 30, 2025, based on criteria established in Internal Control—Integrated Framework issued by the Committee of Sponsoring Organizations of the Treadway Commission (2013 framework) (the COSO criteria). In our opinion, because of the effect of the material weakness described below on the achievement of the objectives of the control criteria, The Hain Celestial Group, Inc. and subsidiaries (the Company) has not maintained effective internal control over financial reporting as of June 30, 2025, based on the COSO criteria.</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the design and operation of its controls over determining the fair value of goodwill and indefinite lived intangible assets used in its quantitative impairment tests.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June 30, 2025 and 2024, the related consolidated statements of operations, comprehensive loss, stockholders’ equity and cash flows for each of the three years in the period ended June 30, 2025, and the related notes and financial statement schedule listed in the Index at Item 15(a). This material weakness was considered in determining the nature, timing and extent of audit tests applied in our audit of the 2025 consolidated financial statements, and this report does not affect our report dated September 15, 2025, which expressed an unqualified opinion thereon.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00" w:lineRule="exact"/>
        <w:rPr>
          <w:sz w:val="20"/>
          <w:szCs w:val="20"/>
          <w:color w:val="auto"/>
        </w:rPr>
      </w:pPr>
    </w:p>
    <w:p>
      <w:pPr>
        <w:spacing w:after="0" w:line="30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Fourth Amendment to Fourth Amended and Restated Credit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11, 2025, the Company entered into the Fourth Amendment (the “Fourth Amendment”) to its Fourth Amended and Restated Credit Agreement, dated December 22, 2021 (the “Credit Agreement”), by and among the Company, the lenders party thereto and Bank of America, N.A., as administrative agent.</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Fourth Amendment, the Company and the lenders agreed to, among other things, amend certain provisions relating to interest rate, revolving commitment availability, mandatory prepayment, reporting and the affirmative and negative covenants under the Credit Agreement. The amendments to financial covenants under the Fourth Amendment include (x) an increase in the Company’s maximum consolidated secured leverage ratio level to 5.00:1.00 for the quarter ended June 30, 2025 and to 5.50:1.00 for the quarter ending September 30, 2025 and thereafter, (y) a decrease in the Company’s minimum consolidated interest coverage ratio level to 2.00:1.00 for the quarter ending September 30, 2025 and thereafter and (z) the addition of a covenant to maintain a minimum Consolidated EBITDA (as such term is defined in the Credit Agreement as amended by the Fourth Amendment) of</w:t>
      </w:r>
    </w:p>
    <w:p>
      <w:pPr>
        <w:spacing w:after="0" w:line="5" w:lineRule="exact"/>
        <w:rPr>
          <w:sz w:val="20"/>
          <w:szCs w:val="20"/>
          <w:color w:val="auto"/>
        </w:rPr>
      </w:pPr>
    </w:p>
    <w:p>
      <w:pPr>
        <w:ind w:firstLine="8"/>
        <w:spacing w:after="0" w:line="260"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$17,000,000 for the fiscal quarter ending September 30, 2025 and (ii) $52,000,000 for the cumulative two fiscal quarters ending September 30, 2025 and on December 31, 2025.</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Fourth Amendment, loans under the Credit Agreement will bear interest at (a) the Secured Overnight Financing Rate plus a credit spread adjustment of 0.10% plus 4.0% per annum or (b) the Base Rate (as defined in the Credit Agreement) plus 3.0% per annum.</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Fourth Amendment also reduced the size of the revolving credit facility under the Credit Agreement from $700 million to $600 million in the aggregate, with the U.S. revolving credit facility reduced from $385 million to $330 million and the global revolving credit facility reduced from $315 million to $270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Global Chief Supply Chain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12, 2025, the Company eliminated the position of Global Chief Supply Chain Officer as part of a restructuring of the Company’s operating model. Accordingly, Steven R. Golliher, the Company’s current Global Chief Supply Chain Officer, will leave the Company effective November 3, 2025.</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Mr. Golliher is entitled to severance due to the termination of his employment by the Company without cause, as described in the Proxy Statement for the Company’s 2024 Annual Meeting of Stockholders filed with the SEC on September 19, 2024, subject to his execution of a separation agreement and release of claims.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 and Non-Rule 10b5-1 Trading Arrangements</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none of the Company’s directors or officers (as defined in Rule 16a-1(f) of the Securities Exchange Act of 1934, as amended), adopted, terminated or modified a Rule 10b5-1 trading arrangement or non-Rule 10b5-1 trading arrangement (as such terms are defined in Item 408 of Regulation S-K of the Securities Act of 1933, as amended).</w:t>
      </w:r>
    </w:p>
    <w:p>
      <w:pPr>
        <w:spacing w:after="0" w:line="131" w:lineRule="exact"/>
        <w:rPr>
          <w:sz w:val="20"/>
          <w:szCs w:val="20"/>
          <w:color w:val="auto"/>
        </w:rPr>
      </w:pPr>
    </w:p>
    <w:p>
      <w:pPr>
        <w:ind w:right="5260"/>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Proxy Statement for the 2025 Annual Meeting of Stockholders of the Company to be filed with the SEC within 120 days of the fiscal year ended June 30, 2025 (the “2025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2025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ind w:right="4320"/>
        <w:spacing w:after="0" w:line="457" w:lineRule="auto"/>
        <w:rPr>
          <w:sz w:val="20"/>
          <w:szCs w:val="20"/>
          <w:color w:val="auto"/>
        </w:rPr>
      </w:pPr>
      <w:r>
        <w:rPr>
          <w:rFonts w:ascii="Times New Roman" w:cs="Times New Roman" w:eastAsia="Times New Roman" w:hAnsi="Times New Roman"/>
          <w:sz w:val="18"/>
          <w:szCs w:val="18"/>
          <w:color w:val="auto"/>
        </w:rPr>
        <w:t xml:space="preserve">The information required by this item is incorporated by reference to the 2025 Proxy Statement. </w:t>
      </w: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color w:val="auto"/>
        </w:rPr>
        <w:t>The information required by this item is incorporated by reference to the 2025 Proxy Statement.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2025 Proxy Statement.</w:t>
      </w:r>
    </w:p>
    <w:p>
      <w:pPr>
        <w:spacing w:after="0" w:line="3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87" w:lineRule="exact"/>
        <w:rPr>
          <w:sz w:val="20"/>
          <w:szCs w:val="20"/>
          <w:color w:val="auto"/>
        </w:rPr>
      </w:pPr>
    </w:p>
    <w:p>
      <w:pPr>
        <w:jc w:val="both"/>
        <w:ind w:left="720" w:hanging="748"/>
        <w:spacing w:after="0" w:line="284" w:lineRule="auto"/>
        <w:tabs>
          <w:tab w:leader="none" w:pos="70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following consolidated financial statements of The Hain Celestial Group, Inc. are filed as part of this report under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Item 8 - Financial Statements and Supplementary Data:</w:t>
      </w:r>
    </w:p>
    <w:p>
      <w:pPr>
        <w:spacing w:after="0" w:line="1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Balance Sheets - June 30, 2025 and 2024</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Statements of Operations - Fiscal Years ended June 30, 2025, 2024 and 2023</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Statements of Comprehensive Loss - Fiscal Years ended June 30, 2025, 2024 and 2023</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Statements of Stockholders’ Equity - Fiscal Years ended June 30, 2025, 2024 and 2023</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Consolidated Statements of Cash Flows - Fiscal Years ended June 30, 2025, 2024 and 2023</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164" w:lineRule="exact"/>
        <w:rPr>
          <w:sz w:val="20"/>
          <w:szCs w:val="20"/>
          <w:color w:val="auto"/>
        </w:rPr>
      </w:pPr>
    </w:p>
    <w:p>
      <w:pPr>
        <w:jc w:val="both"/>
        <w:ind w:left="760" w:hanging="759"/>
        <w:spacing w:after="0" w:line="267" w:lineRule="auto"/>
        <w:tabs>
          <w:tab w:leader="none" w:pos="7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i w:val="1"/>
          <w:iCs w:val="1"/>
          <w:color w:val="auto"/>
        </w:rPr>
        <w:t>Financial Statement Schedules</w:t>
      </w:r>
      <w:r>
        <w:rPr>
          <w:rFonts w:ascii="Times New Roman" w:cs="Times New Roman" w:eastAsia="Times New Roman" w:hAnsi="Times New Roman"/>
          <w:sz w:val="18"/>
          <w:szCs w:val="18"/>
          <w:color w:val="auto"/>
        </w:rPr>
        <w:t>. The following financial statement schedule should be read in conjunction with the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included in Part II, Item 8, of this Annual Report on Form 10-K. All other financial schedules are not required under the related instructions or are not applicable and therefore have been omitted.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Hain Celestial Group, Inc. and Subsidiaries</w:t>
      </w:r>
    </w:p>
    <w:p>
      <w:pPr>
        <w:spacing w:after="0" w:line="3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Charged to</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vMerge w:val="restart"/>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rPr>
              <w:t>Deductions -</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expenses (ii)</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describe (i)</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Ended June 30, 2025</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67,626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30,706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96,383</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Fiscal Year Ended June 30, 2024</w:t>
            </w: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2,750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52,551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18,998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67,626</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Ended June 30, 2023</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1,731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8"/>
                <w:szCs w:val="18"/>
                <w:color w:val="auto"/>
              </w:rPr>
              <w:t>36,891</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23,212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52,551</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-848360</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-848360</wp:posOffset>
            </wp:positionV>
            <wp:extent cx="8572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-848360</wp:posOffset>
            </wp:positionV>
            <wp:extent cx="857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857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6" w:lineRule="exact"/>
        <w:rPr>
          <w:sz w:val="20"/>
          <w:szCs w:val="20"/>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Amounts written off and changes in exchange rates.</w:t>
      </w:r>
    </w:p>
    <w:p>
      <w:pPr>
        <w:spacing w:after="0" w:line="29" w:lineRule="exact"/>
        <w:rPr>
          <w:rFonts w:ascii="Times New Roman" w:cs="Times New Roman" w:eastAsia="Times New Roman" w:hAnsi="Times New Roman"/>
          <w:sz w:val="18"/>
          <w:szCs w:val="18"/>
          <w:i w:val="1"/>
          <w:iCs w:val="1"/>
          <w:color w:val="auto"/>
        </w:rPr>
      </w:pPr>
    </w:p>
    <w:p>
      <w:pPr>
        <w:ind w:left="1500" w:hanging="743"/>
        <w:spacing w:after="0"/>
        <w:tabs>
          <w:tab w:leader="none" w:pos="15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item related to THWR purchase accounting (2025: nil; 2024: nil; 2023: $291)</w:t>
      </w:r>
    </w:p>
    <w:p>
      <w:pPr>
        <w:spacing w:after="0" w:line="164" w:lineRule="exact"/>
        <w:rPr>
          <w:sz w:val="20"/>
          <w:szCs w:val="20"/>
          <w:color w:val="auto"/>
        </w:rPr>
      </w:pPr>
    </w:p>
    <w:p>
      <w:pPr>
        <w:ind w:left="720" w:hanging="748"/>
        <w:spacing w:after="0" w:line="284" w:lineRule="auto"/>
        <w:tabs>
          <w:tab w:leader="none" w:pos="70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exhibits filed as part of this Annual Report on Form 10-K are listed on the Exhibit Index immediately following Item 16. “Form 10-K Summary,” which is incorporated herein by reference.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0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17" w:right="339" w:bottom="1440" w:gutter="0" w:footer="0" w:header="0"/>
        </w:sect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10.2.6*</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-180340</wp:posOffset>
            </wp:positionV>
            <wp:extent cx="7132320" cy="1974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 w:lineRule="exact"/>
        <w:rPr>
          <w:sz w:val="20"/>
          <w:szCs w:val="20"/>
          <w:color w:val="auto"/>
        </w:rPr>
      </w:pPr>
    </w:p>
    <w:p>
      <w:pPr>
        <w:jc w:val="both"/>
        <w:spacing w:after="0" w:line="258" w:lineRule="auto"/>
        <w:rPr>
          <w:rFonts w:ascii="Times New Roman" w:cs="Times New Roman" w:eastAsia="Times New Roman" w:hAnsi="Times New Roman"/>
          <w:sz w:val="18"/>
          <w:szCs w:val="18"/>
          <w:u w:val="single" w:color="auto"/>
          <w:color w:val="0000FF"/>
        </w:rPr>
      </w:pPr>
      <w:hyperlink r:id="rId416">
        <w:r>
          <w:rPr>
            <w:rFonts w:ascii="Times New Roman" w:cs="Times New Roman" w:eastAsia="Times New Roman" w:hAnsi="Times New Roman"/>
            <w:sz w:val="18"/>
            <w:szCs w:val="18"/>
            <w:u w:val="single" w:color="auto"/>
            <w:color w:val="0000FF"/>
          </w:rPr>
          <w:t>Restated Certificate of Incorporation (incorporated by reference to Exhibit 3.1 of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416">
        <w:r>
          <w:rPr>
            <w:rFonts w:ascii="Times New Roman" w:cs="Times New Roman" w:eastAsia="Times New Roman" w:hAnsi="Times New Roman"/>
            <w:sz w:val="18"/>
            <w:szCs w:val="18"/>
            <w:u w:val="single" w:color="auto"/>
            <w:color w:val="0000FF"/>
          </w:rPr>
          <w:t>year ended June 30, 2021, filed with the SEC on August 26,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-8890</wp:posOffset>
            </wp:positionV>
            <wp:extent cx="7132320" cy="7747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4890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30651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3065145" cy="8890"/>
                    </a:xfrm>
                    <a:prstGeom prst="rect">
                      <a:avLst/>
                    </a:prstGeom>
                    <a:noFill/>
                  </pic:spPr>
                </pic:pic>
              </a:graphicData>
            </a:graphic>
          </wp:anchor>
        </w:drawing>
      </w:r>
    </w:p>
    <w:p>
      <w:pPr>
        <w:spacing w:after="0" w:line="68"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420">
        <w:r>
          <w:rPr>
            <w:rFonts w:ascii="Times New Roman" w:cs="Times New Roman" w:eastAsia="Times New Roman" w:hAnsi="Times New Roman"/>
            <w:sz w:val="18"/>
            <w:szCs w:val="18"/>
            <w:u w:val="single" w:color="auto"/>
            <w:color w:val="0000FF"/>
          </w:rPr>
          <w:t>The Hain Celestial Group, Inc. Amended and Restated By-Laws (incorporated by reference to Exhibit 3.2 of the Company’s Quarterly</w:t>
        </w:r>
      </w:hyperlink>
      <w:r>
        <w:rPr>
          <w:rFonts w:ascii="Times New Roman" w:cs="Times New Roman" w:eastAsia="Times New Roman" w:hAnsi="Times New Roman"/>
          <w:sz w:val="18"/>
          <w:szCs w:val="18"/>
          <w:u w:val="single" w:color="auto"/>
          <w:color w:val="0000FF"/>
        </w:rPr>
        <w:t xml:space="preserve"> </w:t>
      </w:r>
      <w:hyperlink r:id="rId420">
        <w:r>
          <w:rPr>
            <w:rFonts w:ascii="Times New Roman" w:cs="Times New Roman" w:eastAsia="Times New Roman" w:hAnsi="Times New Roman"/>
            <w:sz w:val="18"/>
            <w:szCs w:val="18"/>
            <w:u w:val="single" w:color="auto"/>
            <w:color w:val="0000FF"/>
          </w:rPr>
          <w:t>Report on Form 10-Q for the fiscal quarter ended December 31, 2024, filed with the SEC on February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652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64865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516255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5162550" cy="8255"/>
                    </a:xfrm>
                    <a:prstGeom prst="rect">
                      <a:avLst/>
                    </a:prstGeom>
                    <a:noFill/>
                  </pic:spPr>
                </pic:pic>
              </a:graphicData>
            </a:graphic>
          </wp:anchor>
        </w:drawing>
      </w:r>
    </w:p>
    <w:p>
      <w:pPr>
        <w:spacing w:after="0" w:line="47"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424">
        <w:r>
          <w:rPr>
            <w:rFonts w:ascii="Times New Roman" w:cs="Times New Roman" w:eastAsia="Times New Roman" w:hAnsi="Times New Roman"/>
            <w:sz w:val="18"/>
            <w:szCs w:val="18"/>
            <w:u w:val="single" w:color="auto"/>
            <w:color w:val="0000FF"/>
          </w:rPr>
          <w:t>Specimen of common stock certificate (incorporated by reference to Exhibit 4.1 of Amendment No. 1 to the Company’s Registration</w:t>
        </w:r>
      </w:hyperlink>
      <w:r>
        <w:rPr>
          <w:rFonts w:ascii="Times New Roman" w:cs="Times New Roman" w:eastAsia="Times New Roman" w:hAnsi="Times New Roman"/>
          <w:sz w:val="18"/>
          <w:szCs w:val="18"/>
          <w:u w:val="single" w:color="auto"/>
          <w:color w:val="0000FF"/>
        </w:rPr>
        <w:t xml:space="preserve"> </w:t>
      </w:r>
      <w:hyperlink r:id="rId424">
        <w:r>
          <w:rPr>
            <w:rFonts w:ascii="Times New Roman" w:cs="Times New Roman" w:eastAsia="Times New Roman" w:hAnsi="Times New Roman"/>
            <w:sz w:val="18"/>
            <w:szCs w:val="18"/>
            <w:u w:val="single" w:color="auto"/>
            <w:color w:val="0000FF"/>
          </w:rPr>
          <w:t>Statement on Form S-4 filed with the SEC on April 24, 2000).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20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28467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2846705" cy="8255"/>
                    </a:xfrm>
                    <a:prstGeom prst="rect">
                      <a:avLst/>
                    </a:prstGeom>
                    <a:noFill/>
                  </pic:spPr>
                </pic:pic>
              </a:graphicData>
            </a:graphic>
          </wp:anchor>
        </w:drawing>
      </w:r>
    </w:p>
    <w:p>
      <w:pPr>
        <w:spacing w:after="0" w:line="47"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428">
        <w:r>
          <w:rPr>
            <w:rFonts w:ascii="Times New Roman" w:cs="Times New Roman" w:eastAsia="Times New Roman" w:hAnsi="Times New Roman"/>
            <w:sz w:val="18"/>
            <w:szCs w:val="18"/>
            <w:u w:val="single" w:color="auto"/>
            <w:color w:val="0000FF"/>
          </w:rPr>
          <w:t>Description of Registrant’s Securities (incorporated by reference to Exhibit 4.2 of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428">
        <w:r>
          <w:rPr>
            <w:rFonts w:ascii="Times New Roman" w:cs="Times New Roman" w:eastAsia="Times New Roman" w:hAnsi="Times New Roman"/>
            <w:sz w:val="18"/>
            <w:szCs w:val="18"/>
            <w:u w:val="single" w:color="auto"/>
            <w:color w:val="0000FF"/>
          </w:rPr>
          <w:t>year ended June 30, 2019, filed with the SEC on August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46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30651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3065145" cy="8255"/>
                    </a:xfrm>
                    <a:prstGeom prst="rect">
                      <a:avLst/>
                    </a:prstGeom>
                    <a:noFill/>
                  </pic:spPr>
                </pic:pic>
              </a:graphicData>
            </a:graphic>
          </wp:anchor>
        </w:drawing>
      </w:r>
    </w:p>
    <w:p>
      <w:pPr>
        <w:spacing w:after="0" w:line="47"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432">
        <w:r>
          <w:rPr>
            <w:rFonts w:ascii="Times New Roman" w:cs="Times New Roman" w:eastAsia="Times New Roman" w:hAnsi="Times New Roman"/>
            <w:sz w:val="18"/>
            <w:szCs w:val="18"/>
            <w:u w:val="single" w:color="auto"/>
            <w:color w:val="0000FF"/>
          </w:rPr>
          <w:t>Fourth Amended and Restated Credit Agreement, dated December 22, 2021, by and among the Company, the Lenders party thereto and Bank</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of America, N.A., as administrative agent (incorporated by reference to Exhibit 10.1 of the Company’s Current Report on Form 8-K filed</w:t>
        </w:r>
      </w:hyperlink>
      <w:r>
        <w:rPr>
          <w:rFonts w:ascii="Times New Roman" w:cs="Times New Roman" w:eastAsia="Times New Roman" w:hAnsi="Times New Roman"/>
          <w:sz w:val="18"/>
          <w:szCs w:val="18"/>
          <w:u w:val="single" w:color="auto"/>
          <w:color w:val="0000FF"/>
        </w:rPr>
        <w:t xml:space="preserve"> </w:t>
      </w:r>
      <w:hyperlink r:id="rId432">
        <w:r>
          <w:rPr>
            <w:rFonts w:ascii="Times New Roman" w:cs="Times New Roman" w:eastAsia="Times New Roman" w:hAnsi="Times New Roman"/>
            <w:sz w:val="18"/>
            <w:szCs w:val="18"/>
            <w:u w:val="single" w:color="auto"/>
            <w:color w:val="0000FF"/>
          </w:rPr>
          <w:t>with the SEC on December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5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6485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27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7449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437">
        <w:r>
          <w:rPr>
            <w:rFonts w:ascii="Times New Roman" w:cs="Times New Roman" w:eastAsia="Times New Roman" w:hAnsi="Times New Roman"/>
            <w:sz w:val="18"/>
            <w:szCs w:val="18"/>
            <w:u w:val="single" w:color="auto"/>
            <w:color w:val="0000FF"/>
          </w:rPr>
          <w:t>First Amendment, dated December 16, 2022, to the Fourth Amended and Restated Credit Agreement, dated December 22, 2021, by and</w:t>
        </w:r>
      </w:hyperlink>
      <w:r>
        <w:rPr>
          <w:rFonts w:ascii="Times New Roman" w:cs="Times New Roman" w:eastAsia="Times New Roman" w:hAnsi="Times New Roman"/>
          <w:sz w:val="18"/>
          <w:szCs w:val="18"/>
          <w:u w:val="single" w:color="auto"/>
          <w:color w:val="0000FF"/>
        </w:rPr>
        <w:t xml:space="preserve"> </w:t>
      </w:r>
      <w:hyperlink r:id="rId437">
        <w:r>
          <w:rPr>
            <w:rFonts w:ascii="Times New Roman" w:cs="Times New Roman" w:eastAsia="Times New Roman" w:hAnsi="Times New Roman"/>
            <w:sz w:val="18"/>
            <w:szCs w:val="18"/>
            <w:u w:val="single" w:color="auto"/>
            <w:color w:val="0000FF"/>
          </w:rPr>
          <w:t>among the Company, the Lenders party thereto and Bank of America, N.A., as administrative agent (incorporated by reference to Exhibit</w:t>
        </w:r>
      </w:hyperlink>
      <w:r>
        <w:rPr>
          <w:rFonts w:ascii="Times New Roman" w:cs="Times New Roman" w:eastAsia="Times New Roman" w:hAnsi="Times New Roman"/>
          <w:sz w:val="18"/>
          <w:szCs w:val="18"/>
          <w:u w:val="single" w:color="auto"/>
          <w:color w:val="0000FF"/>
        </w:rPr>
        <w:t xml:space="preserve"> </w:t>
      </w:r>
      <w:hyperlink r:id="rId437">
        <w:r>
          <w:rPr>
            <w:rFonts w:ascii="Times New Roman" w:cs="Times New Roman" w:eastAsia="Times New Roman" w:hAnsi="Times New Roman"/>
            <w:sz w:val="18"/>
            <w:szCs w:val="18"/>
            <w:u w:val="single" w:color="auto"/>
            <w:color w:val="0000FF"/>
          </w:rPr>
          <w:t>10.1 of the Company’s Current Report on Form 8-K filed with the SEC on December 21,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144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14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648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440118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440118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61" w:lineRule="auto"/>
        <w:rPr>
          <w:rFonts w:ascii="Times New Roman" w:cs="Times New Roman" w:eastAsia="Times New Roman" w:hAnsi="Times New Roman"/>
          <w:sz w:val="18"/>
          <w:szCs w:val="18"/>
          <w:u w:val="single" w:color="auto"/>
          <w:color w:val="0000FF"/>
        </w:rPr>
      </w:pPr>
      <w:hyperlink r:id="rId442">
        <w:r>
          <w:rPr>
            <w:rFonts w:ascii="Times New Roman" w:cs="Times New Roman" w:eastAsia="Times New Roman" w:hAnsi="Times New Roman"/>
            <w:sz w:val="18"/>
            <w:szCs w:val="18"/>
            <w:u w:val="single" w:color="auto"/>
            <w:color w:val="0000FF"/>
          </w:rPr>
          <w:t>Second Amendment, dated August 22, 2023, to the Fourth Amended and Restated Credit Agreement, dated December 22, 2021, by and</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among the Company, the Lenders party thereto and Bank of America, N.A., as administrative agent (incorporated by reference to Exhibit</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10.1 of the Company’s Quarterly Report on Form 10-Q for the fiscal quarter ended September 30, 2023, filed with the SEC on November 7,</w:t>
        </w:r>
      </w:hyperlink>
      <w:r>
        <w:rPr>
          <w:rFonts w:ascii="Times New Roman" w:cs="Times New Roman" w:eastAsia="Times New Roman" w:hAnsi="Times New Roman"/>
          <w:sz w:val="18"/>
          <w:szCs w:val="18"/>
          <w:u w:val="single" w:color="auto"/>
          <w:color w:val="0000FF"/>
        </w:rPr>
        <w:t xml:space="preserve"> </w:t>
      </w:r>
      <w:hyperlink r:id="rId442">
        <w:r>
          <w:rPr>
            <w:rFonts w:ascii="Times New Roman" w:cs="Times New Roman" w:eastAsia="Times New Roman" w:hAnsi="Times New Roman"/>
            <w:sz w:val="18"/>
            <w:szCs w:val="18"/>
            <w:u w:val="single" w:color="auto"/>
            <w:color w:val="0000FF"/>
          </w:rPr>
          <w:t>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-10795</wp:posOffset>
            </wp:positionV>
            <wp:extent cx="7132320" cy="768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-448310</wp:posOffset>
            </wp:positionV>
            <wp:extent cx="64858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6485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-311150</wp:posOffset>
            </wp:positionV>
            <wp:extent cx="648144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-173990</wp:posOffset>
            </wp:positionV>
            <wp:extent cx="64814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-36830</wp:posOffset>
            </wp:positionV>
            <wp:extent cx="29527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65" w:lineRule="exact"/>
        <w:rPr>
          <w:rFonts w:ascii="Times New Roman" w:cs="Times New Roman" w:eastAsia="Times New Roman" w:hAnsi="Times New Roman"/>
          <w:sz w:val="18"/>
          <w:szCs w:val="18"/>
          <w:u w:val="single" w:color="auto"/>
          <w:color w:val="0000FF"/>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0000FF"/>
        </w:rPr>
        <w:t>Third Amendment, dated May 5, 2025, to the Fourth Amended and Restated Credit Agreement, dated December 22, 2021, by and among the Company, the Lenders party thereto and Bank of America, N.A., as administrative agent.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68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46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64846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0735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ind w:right="260"/>
        <w:spacing w:after="0" w:line="282" w:lineRule="auto"/>
        <w:rPr>
          <w:sz w:val="20"/>
          <w:szCs w:val="20"/>
          <w:color w:val="auto"/>
        </w:rPr>
      </w:pPr>
      <w:r>
        <w:rPr>
          <w:rFonts w:ascii="Times New Roman" w:cs="Times New Roman" w:eastAsia="Times New Roman" w:hAnsi="Times New Roman"/>
          <w:sz w:val="18"/>
          <w:szCs w:val="18"/>
          <w:u w:val="single" w:color="auto"/>
          <w:color w:val="0000FF"/>
        </w:rPr>
        <w:t>Fourth Amendment, dated September 11, 2025, to the Fourth Amended and Restated Credit Agreement, dated December 22, 2021, by and among the Company, the Lenders party thereto and Bank of America, N.A., as administrative agent.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68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35889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63588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5815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4581525" cy="8255"/>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54">
        <w:r>
          <w:rPr>
            <w:rFonts w:ascii="Times New Roman" w:cs="Times New Roman" w:eastAsia="Times New Roman" w:hAnsi="Times New Roman"/>
            <w:sz w:val="18"/>
            <w:szCs w:val="18"/>
            <w:u w:val="single" w:color="auto"/>
            <w:color w:val="0000FF"/>
          </w:rPr>
          <w:t>Amended and Restated Security and Pledge Agreement, dated December 22, 2021, by and among the Company, certain wholly-owned</w:t>
        </w:r>
      </w:hyperlink>
      <w:r>
        <w:rPr>
          <w:rFonts w:ascii="Times New Roman" w:cs="Times New Roman" w:eastAsia="Times New Roman" w:hAnsi="Times New Roman"/>
          <w:sz w:val="18"/>
          <w:szCs w:val="18"/>
          <w:u w:val="single" w:color="auto"/>
          <w:color w:val="0000FF"/>
        </w:rPr>
        <w:t xml:space="preserve"> </w:t>
      </w:r>
      <w:hyperlink r:id="rId454">
        <w:r>
          <w:rPr>
            <w:rFonts w:ascii="Times New Roman" w:cs="Times New Roman" w:eastAsia="Times New Roman" w:hAnsi="Times New Roman"/>
            <w:sz w:val="18"/>
            <w:szCs w:val="18"/>
            <w:u w:val="single" w:color="auto"/>
            <w:color w:val="0000FF"/>
          </w:rPr>
          <w:t>subsidiaries of the Company party thereto from time to time, and Bank of America, N.A., as administrative agent (incorporated by reference</w:t>
        </w:r>
      </w:hyperlink>
      <w:r>
        <w:rPr>
          <w:rFonts w:ascii="Times New Roman" w:cs="Times New Roman" w:eastAsia="Times New Roman" w:hAnsi="Times New Roman"/>
          <w:sz w:val="18"/>
          <w:szCs w:val="18"/>
          <w:u w:val="single" w:color="auto"/>
          <w:color w:val="0000FF"/>
        </w:rPr>
        <w:t xml:space="preserve"> </w:t>
      </w:r>
      <w:hyperlink r:id="rId454">
        <w:r>
          <w:rPr>
            <w:rFonts w:ascii="Times New Roman" w:cs="Times New Roman" w:eastAsia="Times New Roman" w:hAnsi="Times New Roman"/>
            <w:sz w:val="18"/>
            <w:szCs w:val="18"/>
            <w:u w:val="single" w:color="auto"/>
            <w:color w:val="0000FF"/>
          </w:rPr>
          <w:t>to Exhibit 10.2 of the Company’s Current Report on Form 8-K filed with the SEC on December 28,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68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5">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843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6">
                      <a:extLst>
                        <a:ext uri="{28A0092B-C50C-407E-A947-70E740481C1C}"/>
                      </a:extLst>
                    </a:blip>
                    <a:srcRect/>
                    <a:stretch>
                      <a:fillRect/>
                    </a:stretch>
                  </pic:blipFill>
                  <pic:spPr bwMode="auto">
                    <a:xfrm>
                      <a:off x="0" y="0"/>
                      <a:ext cx="64884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90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488378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8">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459">
        <w:r>
          <w:rPr>
            <w:rFonts w:ascii="Times New Roman" w:cs="Times New Roman" w:eastAsia="Times New Roman" w:hAnsi="Times New Roman"/>
            <w:sz w:val="18"/>
            <w:szCs w:val="18"/>
            <w:u w:val="single" w:color="auto"/>
            <w:color w:val="0000FF"/>
          </w:rPr>
          <w:t>The Hain Celestial Group, Inc. 2022 Long Term Incentive and Stock Award Plan (incorporated by reference to Exhibit 10.1 of the</w:t>
        </w:r>
      </w:hyperlink>
      <w:r>
        <w:rPr>
          <w:rFonts w:ascii="Times New Roman" w:cs="Times New Roman" w:eastAsia="Times New Roman" w:hAnsi="Times New Roman"/>
          <w:sz w:val="18"/>
          <w:szCs w:val="18"/>
          <w:u w:val="single" w:color="auto"/>
          <w:color w:val="0000FF"/>
        </w:rPr>
        <w:t xml:space="preserve"> </w:t>
      </w:r>
      <w:hyperlink r:id="rId459">
        <w:r>
          <w:rPr>
            <w:rFonts w:ascii="Times New Roman" w:cs="Times New Roman" w:eastAsia="Times New Roman" w:hAnsi="Times New Roman"/>
            <w:sz w:val="18"/>
            <w:szCs w:val="18"/>
            <w:u w:val="single" w:color="auto"/>
            <w:color w:val="0000FF"/>
          </w:rPr>
          <w:t>Company’s Registration Statement on Form S-8 (Commission File No. 333-268439) filed with the Securities and Exchange Commission on</w:t>
        </w:r>
      </w:hyperlink>
      <w:r>
        <w:rPr>
          <w:rFonts w:ascii="Times New Roman" w:cs="Times New Roman" w:eastAsia="Times New Roman" w:hAnsi="Times New Roman"/>
          <w:sz w:val="18"/>
          <w:szCs w:val="18"/>
          <w:u w:val="single" w:color="auto"/>
          <w:color w:val="0000FF"/>
        </w:rPr>
        <w:t xml:space="preserve"> </w:t>
      </w:r>
      <w:hyperlink r:id="rId459">
        <w:r>
          <w:rPr>
            <w:rFonts w:ascii="Times New Roman" w:cs="Times New Roman" w:eastAsia="Times New Roman" w:hAnsi="Times New Roman"/>
            <w:sz w:val="18"/>
            <w:szCs w:val="18"/>
            <w:u w:val="single" w:color="auto"/>
            <w:color w:val="0000FF"/>
          </w:rPr>
          <w:t>November 17,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0">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4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1">
                      <a:extLst>
                        <a:ext uri="{28A0092B-C50C-407E-A947-70E740481C1C}"/>
                      </a:extLst>
                    </a:blip>
                    <a:srcRect/>
                    <a:stretch>
                      <a:fillRect/>
                    </a:stretch>
                  </pic:blipFill>
                  <pic:spPr bwMode="auto">
                    <a:xfrm>
                      <a:off x="0" y="0"/>
                      <a:ext cx="6484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779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2">
                      <a:extLst>
                        <a:ext uri="{28A0092B-C50C-407E-A947-70E740481C1C}"/>
                      </a:extLst>
                    </a:blip>
                    <a:srcRect/>
                    <a:stretch>
                      <a:fillRect/>
                    </a:stretch>
                  </pic:blipFill>
                  <pic:spPr bwMode="auto">
                    <a:xfrm>
                      <a:off x="0" y="0"/>
                      <a:ext cx="64877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97726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160"/>
        <w:spacing w:after="0" w:line="282" w:lineRule="auto"/>
        <w:rPr>
          <w:rFonts w:ascii="Times New Roman" w:cs="Times New Roman" w:eastAsia="Times New Roman" w:hAnsi="Times New Roman"/>
          <w:sz w:val="18"/>
          <w:szCs w:val="18"/>
          <w:u w:val="single" w:color="auto"/>
          <w:color w:val="0000FF"/>
        </w:rPr>
      </w:pPr>
      <w:hyperlink r:id="rId464">
        <w:r>
          <w:rPr>
            <w:rFonts w:ascii="Times New Roman" w:cs="Times New Roman" w:eastAsia="Times New Roman" w:hAnsi="Times New Roman"/>
            <w:sz w:val="18"/>
            <w:szCs w:val="18"/>
            <w:u w:val="single" w:color="auto"/>
            <w:color w:val="0000FF"/>
          </w:rPr>
          <w:t>First Amendment to The Hain Celestial Group, Inc. 2022 Long Term Incentive and Stock Award Plan (incorporated by reference to Exhibit</w:t>
        </w:r>
      </w:hyperlink>
      <w:r>
        <w:rPr>
          <w:rFonts w:ascii="Times New Roman" w:cs="Times New Roman" w:eastAsia="Times New Roman" w:hAnsi="Times New Roman"/>
          <w:sz w:val="18"/>
          <w:szCs w:val="18"/>
          <w:u w:val="single" w:color="auto"/>
          <w:color w:val="0000FF"/>
        </w:rPr>
        <w:t xml:space="preserve"> </w:t>
      </w:r>
      <w:hyperlink r:id="rId464">
        <w:r>
          <w:rPr>
            <w:rFonts w:ascii="Times New Roman" w:cs="Times New Roman" w:eastAsia="Times New Roman" w:hAnsi="Times New Roman"/>
            <w:sz w:val="18"/>
            <w:szCs w:val="18"/>
            <w:u w:val="single" w:color="auto"/>
            <w:color w:val="0000FF"/>
          </w:rPr>
          <w:t>10.1 of the Company’s Current Report on Form 8-K filed with the SEC on November 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1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6">
                      <a:extLst>
                        <a:ext uri="{28A0092B-C50C-407E-A947-70E740481C1C}"/>
                      </a:extLst>
                    </a:blip>
                    <a:srcRect/>
                    <a:stretch>
                      <a:fillRect/>
                    </a:stretch>
                  </pic:blipFill>
                  <pic:spPr bwMode="auto">
                    <a:xfrm>
                      <a:off x="0" y="0"/>
                      <a:ext cx="6418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3567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7">
                      <a:extLst>
                        <a:ext uri="{28A0092B-C50C-407E-A947-70E740481C1C}"/>
                      </a:extLst>
                    </a:blip>
                    <a:srcRect/>
                    <a:stretch>
                      <a:fillRect/>
                    </a:stretch>
                  </pic:blipFill>
                  <pic:spPr bwMode="auto">
                    <a:xfrm>
                      <a:off x="0" y="0"/>
                      <a:ext cx="4356735" cy="8890"/>
                    </a:xfrm>
                    <a:prstGeom prst="rect">
                      <a:avLst/>
                    </a:prstGeom>
                    <a:noFill/>
                  </pic:spPr>
                </pic:pic>
              </a:graphicData>
            </a:graphic>
          </wp:anchor>
        </w:drawing>
      </w:r>
    </w:p>
    <w:p>
      <w:pPr>
        <w:spacing w:after="0" w:line="47"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468">
        <w:r>
          <w:rPr>
            <w:rFonts w:ascii="Times New Roman" w:cs="Times New Roman" w:eastAsia="Times New Roman" w:hAnsi="Times New Roman"/>
            <w:sz w:val="18"/>
            <w:szCs w:val="18"/>
            <w:u w:val="single" w:color="auto"/>
            <w:color w:val="0000FF"/>
          </w:rPr>
          <w:t>Form of Restricted Share Unit Agreement under The Hain Celestial Group, Inc. 2022 Long Term Incentive and Stock Award Plan – Non-</w:t>
        </w:r>
      </w:hyperlink>
      <w:hyperlink r:id="rId468">
        <w:r>
          <w:rPr>
            <w:rFonts w:ascii="Times New Roman" w:cs="Times New Roman" w:eastAsia="Times New Roman" w:hAnsi="Times New Roman"/>
            <w:sz w:val="18"/>
            <w:szCs w:val="18"/>
            <w:u w:val="single" w:color="auto"/>
            <w:color w:val="0000FF"/>
          </w:rPr>
          <w:t>Employee Director Awards (incorporated by reference to Exhibit 10.6 of the Company’s Quarterly Report on Form 10-Q for the fiscal</w:t>
        </w:r>
      </w:hyperlink>
      <w:r>
        <w:rPr>
          <w:rFonts w:ascii="Times New Roman" w:cs="Times New Roman" w:eastAsia="Times New Roman" w:hAnsi="Times New Roman"/>
          <w:sz w:val="18"/>
          <w:szCs w:val="18"/>
          <w:u w:val="single" w:color="auto"/>
          <w:color w:val="0000FF"/>
        </w:rPr>
        <w:t xml:space="preserve"> </w:t>
      </w:r>
      <w:hyperlink r:id="rId468">
        <w:r>
          <w:rPr>
            <w:rFonts w:ascii="Times New Roman" w:cs="Times New Roman" w:eastAsia="Times New Roman" w:hAnsi="Times New Roman"/>
            <w:sz w:val="18"/>
            <w:szCs w:val="18"/>
            <w:u w:val="single" w:color="auto"/>
            <w:color w:val="0000FF"/>
          </w:rPr>
          <w:t>quarter ended December 31, 2024, filed with the SEC on February 10,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4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6484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335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64833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35344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353441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473">
        <w:r>
          <w:rPr>
            <w:rFonts w:ascii="Times New Roman" w:cs="Times New Roman" w:eastAsia="Times New Roman" w:hAnsi="Times New Roman"/>
            <w:sz w:val="18"/>
            <w:szCs w:val="18"/>
            <w:u w:val="single" w:color="auto"/>
            <w:color w:val="0000FF"/>
          </w:rPr>
          <w:t>Form of Restricted Share Unit Agreement under The Hain Celestial Group, Inc. 2022 Long Term Incentive and Stock Award Plan – 2025-</w:t>
        </w:r>
      </w:hyperlink>
      <w:hyperlink r:id="rId473">
        <w:r>
          <w:rPr>
            <w:rFonts w:ascii="Times New Roman" w:cs="Times New Roman" w:eastAsia="Times New Roman" w:hAnsi="Times New Roman"/>
            <w:sz w:val="18"/>
            <w:szCs w:val="18"/>
            <w:u w:val="single" w:color="auto"/>
            <w:color w:val="0000FF"/>
          </w:rPr>
          <w:t>2027 LTIP (incorporated by reference to Exhibit 10.2 of the Company’s Quarterly Report on Form 10-Q for the fiscal quarter ended</w:t>
        </w:r>
      </w:hyperlink>
      <w:r>
        <w:rPr>
          <w:rFonts w:ascii="Times New Roman" w:cs="Times New Roman" w:eastAsia="Times New Roman" w:hAnsi="Times New Roman"/>
          <w:sz w:val="18"/>
          <w:szCs w:val="18"/>
          <w:u w:val="single" w:color="auto"/>
          <w:color w:val="0000FF"/>
        </w:rPr>
        <w:t xml:space="preserve"> </w:t>
      </w:r>
      <w:hyperlink r:id="rId473">
        <w:r>
          <w:rPr>
            <w:rFonts w:ascii="Times New Roman" w:cs="Times New Roman" w:eastAsia="Times New Roman" w:hAnsi="Times New Roman"/>
            <w:sz w:val="18"/>
            <w:szCs w:val="18"/>
            <w:u w:val="single" w:color="auto"/>
            <w:color w:val="0000FF"/>
          </w:rPr>
          <w:t>December 31, 2024, filed with the SEC on February 10,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13716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20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14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648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288099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2880995" cy="8255"/>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right="40"/>
        <w:spacing w:after="0" w:line="266" w:lineRule="auto"/>
        <w:rPr>
          <w:rFonts w:ascii="Times New Roman" w:cs="Times New Roman" w:eastAsia="Times New Roman" w:hAnsi="Times New Roman"/>
          <w:sz w:val="18"/>
          <w:szCs w:val="18"/>
          <w:u w:val="single" w:color="auto"/>
          <w:color w:val="0000FF"/>
        </w:rPr>
      </w:pPr>
      <w:hyperlink r:id="rId478">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2025-</w:t>
        </w:r>
      </w:hyperlink>
      <w:hyperlink r:id="rId478">
        <w:r>
          <w:rPr>
            <w:rFonts w:ascii="Times New Roman" w:cs="Times New Roman" w:eastAsia="Times New Roman" w:hAnsi="Times New Roman"/>
            <w:sz w:val="18"/>
            <w:szCs w:val="18"/>
            <w:u w:val="single" w:color="auto"/>
            <w:color w:val="0000FF"/>
          </w:rPr>
          <w:t>2027 LTIP (Relative Total Shareholder Return) (incorporated by reference to Exhibit 10.3 of the Company’s Quarterly Report on Form 10-Q</w:t>
        </w:r>
      </w:hyperlink>
      <w:r>
        <w:rPr>
          <w:rFonts w:ascii="Times New Roman" w:cs="Times New Roman" w:eastAsia="Times New Roman" w:hAnsi="Times New Roman"/>
          <w:sz w:val="18"/>
          <w:szCs w:val="18"/>
          <w:u w:val="single" w:color="auto"/>
          <w:color w:val="0000FF"/>
        </w:rPr>
        <w:t xml:space="preserve"> </w:t>
      </w:r>
      <w:hyperlink r:id="rId478">
        <w:r>
          <w:rPr>
            <w:rFonts w:ascii="Times New Roman" w:cs="Times New Roman" w:eastAsia="Times New Roman" w:hAnsi="Times New Roman"/>
            <w:sz w:val="18"/>
            <w:szCs w:val="18"/>
            <w:u w:val="single" w:color="auto"/>
            <w:color w:val="0000FF"/>
          </w:rPr>
          <w:t>for the fiscal quarter ended December 31, 2024, filed with the SEC on February 10,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13716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566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64566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843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648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41402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4140200" cy="8890"/>
                    </a:xfrm>
                    <a:prstGeom prst="rect">
                      <a:avLst/>
                    </a:prstGeom>
                    <a:noFill/>
                  </pic:spPr>
                </pic:pic>
              </a:graphicData>
            </a:graphic>
          </wp:anchor>
        </w:drawing>
      </w:r>
    </w:p>
    <w:p>
      <w:pPr>
        <w:spacing w:after="0" w:line="156" w:lineRule="exact"/>
        <w:rPr>
          <w:rFonts w:ascii="Times New Roman" w:cs="Times New Roman" w:eastAsia="Times New Roman" w:hAnsi="Times New Roman"/>
          <w:sz w:val="18"/>
          <w:szCs w:val="18"/>
          <w:u w:val="single" w:color="auto"/>
          <w:color w:val="0000FF"/>
        </w:rPr>
      </w:pPr>
    </w:p>
    <w:p>
      <w:pPr>
        <w:jc w:val="both"/>
        <w:ind w:right="60"/>
        <w:spacing w:after="0" w:line="282" w:lineRule="auto"/>
        <w:rPr>
          <w:rFonts w:ascii="Times New Roman" w:cs="Times New Roman" w:eastAsia="Times New Roman" w:hAnsi="Times New Roman"/>
          <w:sz w:val="18"/>
          <w:szCs w:val="18"/>
          <w:u w:val="single" w:color="auto"/>
          <w:color w:val="0000FF"/>
        </w:rPr>
      </w:pPr>
      <w:hyperlink r:id="rId483">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2025-</w:t>
        </w:r>
      </w:hyperlink>
      <w:hyperlink r:id="rId483">
        <w:r>
          <w:rPr>
            <w:rFonts w:ascii="Times New Roman" w:cs="Times New Roman" w:eastAsia="Times New Roman" w:hAnsi="Times New Roman"/>
            <w:sz w:val="18"/>
            <w:szCs w:val="18"/>
            <w:u w:val="single" w:color="auto"/>
            <w:color w:val="0000FF"/>
          </w:rPr>
          <w:t>2027 LTIP (Adjusted EBITDA Margin) (incorporated by reference to Exhibit 10.4 of the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-185420</wp:posOffset>
            </wp:positionV>
            <wp:extent cx="64566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64566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09956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4099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0" w:space="300"/>
            <w:col w:w="10220"/>
          </w:cols>
          <w:pgMar w:left="320" w:top="117" w:right="339" w:bottom="1440" w:gutter="0" w:footer="0" w:header="0"/>
          <w:type w:val="continuous"/>
        </w:sectPr>
      </w:pP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483">
        <w:r>
          <w:rPr>
            <w:rFonts w:ascii="Times New Roman" w:cs="Times New Roman" w:eastAsia="Times New Roman" w:hAnsi="Times New Roman"/>
            <w:sz w:val="18"/>
            <w:szCs w:val="18"/>
            <w:u w:val="single" w:color="auto"/>
            <w:color w:val="0000FF"/>
          </w:rPr>
          <w:t>Company’s Quarterly Report on Form 10-Q for the fiscal quarter ended December 31, 2024, filed with the SEC on February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-7620</wp:posOffset>
            </wp:positionV>
            <wp:extent cx="618426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6184265" cy="8890"/>
                    </a:xfrm>
                    <a:prstGeom prst="rect">
                      <a:avLst/>
                    </a:prstGeom>
                    <a:noFill/>
                  </pic:spPr>
                </pic:pic>
              </a:graphicData>
            </a:graphic>
          </wp:anchor>
        </w:drawing>
      </w:r>
    </w:p>
    <w:p>
      <w:pPr>
        <w:spacing w:after="0" w:line="205"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489">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566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6456680" cy="8255"/>
                    </a:xfrm>
                    <a:prstGeom prst="rect">
                      <a:avLst/>
                    </a:prstGeom>
                    <a:noFill/>
                  </pic:spPr>
                </pic:pic>
              </a:graphicData>
            </a:graphic>
          </wp:anchor>
        </w:drawing>
      </w:r>
    </w:p>
    <w:p>
      <w:pPr>
        <w:spacing w:after="0" w:line="7" w:lineRule="exact"/>
        <w:rPr>
          <w:sz w:val="20"/>
          <w:szCs w:val="20"/>
          <w:color w:val="auto"/>
        </w:rPr>
      </w:pPr>
    </w:p>
    <w:p>
      <w:pPr>
        <w:ind w:left="1020" w:right="6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489">
        <w:r>
          <w:rPr>
            <w:rFonts w:ascii="Times New Roman" w:cs="Times New Roman" w:eastAsia="Times New Roman" w:hAnsi="Times New Roman"/>
            <w:sz w:val="18"/>
            <w:szCs w:val="18"/>
            <w:u w:val="single" w:color="auto"/>
            <w:color w:val="0000FF"/>
          </w:rPr>
          <w:t>2027 LTIP (Unlevered Free Cash Flow) (incorporated by reference to Exhibit 10.5 of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489">
        <w:r>
          <w:rPr>
            <w:rFonts w:ascii="Times New Roman" w:cs="Times New Roman" w:eastAsia="Times New Roman" w:hAnsi="Times New Roman"/>
            <w:sz w:val="18"/>
            <w:szCs w:val="18"/>
            <w:u w:val="single" w:color="auto"/>
            <w:color w:val="0000FF"/>
          </w:rPr>
          <w:t>fiscal quarter ended December 31, 2024, filed with the SEC on February 10,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68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7573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647573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38106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3810635"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494">
        <w:r>
          <w:rPr>
            <w:rFonts w:ascii="Times New Roman" w:cs="Times New Roman" w:eastAsia="Times New Roman" w:hAnsi="Times New Roman"/>
            <w:sz w:val="18"/>
            <w:szCs w:val="18"/>
            <w:u w:val="single" w:color="auto"/>
            <w:color w:val="0000FF"/>
          </w:rPr>
          <w:t>Form of Restricted Share Unit Agreement under The Hain Celestial Group, Inc. 2022 Long Term Incentive and Stock Award Plan –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20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6482080" cy="8255"/>
                    </a:xfrm>
                    <a:prstGeom prst="rect">
                      <a:avLst/>
                    </a:prstGeom>
                    <a:noFill/>
                  </pic:spPr>
                </pic:pic>
              </a:graphicData>
            </a:graphic>
          </wp:anchor>
        </w:drawing>
      </w:r>
    </w:p>
    <w:p>
      <w:pPr>
        <w:spacing w:after="0" w:line="7" w:lineRule="exact"/>
        <w:rPr>
          <w:sz w:val="20"/>
          <w:szCs w:val="20"/>
          <w:color w:val="auto"/>
        </w:rPr>
      </w:pPr>
    </w:p>
    <w:p>
      <w:pPr>
        <w:ind w:left="1020" w:right="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494">
        <w:r>
          <w:rPr>
            <w:rFonts w:ascii="Times New Roman" w:cs="Times New Roman" w:eastAsia="Times New Roman" w:hAnsi="Times New Roman"/>
            <w:sz w:val="18"/>
            <w:szCs w:val="18"/>
            <w:u w:val="single" w:color="auto"/>
            <w:color w:val="0000FF"/>
          </w:rPr>
          <w:t>2026 LTIP (incorporated by reference to Exhibit 10.1 of the Company’s Quarterly Report on Form 10-Q for the fiscal quarter ended</w:t>
        </w:r>
      </w:hyperlink>
      <w:r>
        <w:rPr>
          <w:rFonts w:ascii="Times New Roman" w:cs="Times New Roman" w:eastAsia="Times New Roman" w:hAnsi="Times New Roman"/>
          <w:sz w:val="18"/>
          <w:szCs w:val="18"/>
          <w:u w:val="single" w:color="auto"/>
          <w:color w:val="0000FF"/>
        </w:rPr>
        <w:t xml:space="preserve"> </w:t>
      </w:r>
      <w:hyperlink r:id="rId494">
        <w:r>
          <w:rPr>
            <w:rFonts w:ascii="Times New Roman" w:cs="Times New Roman" w:eastAsia="Times New Roman" w:hAnsi="Times New Roman"/>
            <w:sz w:val="18"/>
            <w:szCs w:val="18"/>
            <w:u w:val="single" w:color="auto"/>
            <w:color w:val="0000FF"/>
          </w:rPr>
          <w:t>December 31, 2023, filed with the SEC on February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144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282384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2823845" cy="8890"/>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499">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271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6482715" cy="8890"/>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499">
        <w:r>
          <w:rPr>
            <w:rFonts w:ascii="Times New Roman" w:cs="Times New Roman" w:eastAsia="Times New Roman" w:hAnsi="Times New Roman"/>
            <w:sz w:val="18"/>
            <w:szCs w:val="18"/>
            <w:u w:val="single" w:color="auto"/>
            <w:color w:val="0000FF"/>
          </w:rPr>
          <w:t>2026 LTIP (Relative Total Shareholder Return) (incorporated by reference to Exhibit 10.3 of the Company’s Quarterly Report on Form 10-Q</w:t>
        </w:r>
      </w:hyperlink>
      <w:r>
        <w:rPr>
          <w:rFonts w:ascii="Times New Roman" w:cs="Times New Roman" w:eastAsia="Times New Roman" w:hAnsi="Times New Roman"/>
          <w:sz w:val="18"/>
          <w:szCs w:val="18"/>
          <w:u w:val="single" w:color="auto"/>
          <w:color w:val="0000FF"/>
        </w:rPr>
        <w:t xml:space="preserve"> </w:t>
      </w:r>
      <w:hyperlink r:id="rId499">
        <w:r>
          <w:rPr>
            <w:rFonts w:ascii="Times New Roman" w:cs="Times New Roman" w:eastAsia="Times New Roman" w:hAnsi="Times New Roman"/>
            <w:sz w:val="18"/>
            <w:szCs w:val="18"/>
            <w:u w:val="single" w:color="auto"/>
            <w:color w:val="0000FF"/>
          </w:rPr>
          <w:t>for the fiscal quarter ended December 31, 2023, filed with the SEC on February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5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408368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04">
        <w:r>
          <w:rPr>
            <w:rFonts w:ascii="Times New Roman" w:cs="Times New Roman" w:eastAsia="Times New Roman" w:hAnsi="Times New Roman"/>
            <w:sz w:val="18"/>
            <w:szCs w:val="18"/>
            <w:u w:val="single" w:color="auto"/>
            <w:color w:val="0000FF"/>
          </w:rPr>
          <w:t>Form of Performance Share Unit Agreement under The Hain Celestial Group, Inc. 2022 Long Term Incentive and Stock Award Plan –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27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6482715" cy="8255"/>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10.2.10*</w:t>
      </w:r>
      <w:r>
        <w:rPr>
          <w:sz w:val="20"/>
          <w:szCs w:val="20"/>
          <w:color w:val="auto"/>
        </w:rPr>
        <w:tab/>
      </w:r>
      <w:hyperlink r:id="rId504">
        <w:r>
          <w:rPr>
            <w:rFonts w:ascii="Times New Roman" w:cs="Times New Roman" w:eastAsia="Times New Roman" w:hAnsi="Times New Roman"/>
            <w:sz w:val="18"/>
            <w:szCs w:val="18"/>
            <w:u w:val="single" w:color="auto"/>
            <w:color w:val="0000FF"/>
          </w:rPr>
          <w:t>2026 LTIP (Absolute Total Shareholder Return) (incorporated by reference to Exhibit 10.2 of the Company’s Quarterly Report on Form 10-</w:t>
        </w:r>
      </w:hyperlink>
      <w:hyperlink r:id="rId504">
        <w:r>
          <w:rPr>
            <w:rFonts w:ascii="Times New Roman" w:cs="Times New Roman" w:eastAsia="Times New Roman" w:hAnsi="Times New Roman"/>
            <w:sz w:val="18"/>
            <w:szCs w:val="18"/>
            <w:u w:val="single" w:color="auto"/>
            <w:color w:val="0000FF"/>
          </w:rPr>
          <w:t>Q for the fiscal quarter ended December 31, 2023, filed with the SEC on February 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68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65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64865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419481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4194810"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09">
        <w:r>
          <w:rPr>
            <w:rFonts w:ascii="Times New Roman" w:cs="Times New Roman" w:eastAsia="Times New Roman" w:hAnsi="Times New Roman"/>
            <w:sz w:val="18"/>
            <w:szCs w:val="18"/>
            <w:u w:val="single" w:color="auto"/>
            <w:color w:val="0000FF"/>
          </w:rPr>
          <w:t>Restricted Share Unit Agreement under The Hain Celestial Group, Inc. 2022 Long Term Incentive and Stock Award Plan – Wendy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906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0">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7" w:lineRule="exact"/>
        <w:rPr>
          <w:sz w:val="20"/>
          <w:szCs w:val="20"/>
          <w:color w:val="auto"/>
        </w:rPr>
      </w:pPr>
    </w:p>
    <w:p>
      <w:pPr>
        <w:ind w:left="1020" w:right="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10.2.11*</w:t>
      </w:r>
      <w:r>
        <w:rPr>
          <w:sz w:val="20"/>
          <w:szCs w:val="20"/>
          <w:color w:val="auto"/>
        </w:rPr>
        <w:tab/>
      </w:r>
      <w:hyperlink r:id="rId509">
        <w:r>
          <w:rPr>
            <w:rFonts w:ascii="Times New Roman" w:cs="Times New Roman" w:eastAsia="Times New Roman" w:hAnsi="Times New Roman"/>
            <w:sz w:val="18"/>
            <w:szCs w:val="18"/>
            <w:u w:val="single" w:color="auto"/>
            <w:color w:val="0000FF"/>
          </w:rPr>
          <w:t>Davidson (2023-2025 LTIP) (incorporated by reference to Exhibit 10.1 of the Company’s Quarterly Report on Form 10-Q for the fiscal</w:t>
        </w:r>
      </w:hyperlink>
      <w:r>
        <w:rPr>
          <w:rFonts w:ascii="Times New Roman" w:cs="Times New Roman" w:eastAsia="Times New Roman" w:hAnsi="Times New Roman"/>
          <w:sz w:val="18"/>
          <w:szCs w:val="18"/>
          <w:u w:val="single" w:color="auto"/>
          <w:color w:val="0000FF"/>
        </w:rPr>
        <w:t xml:space="preserve"> </w:t>
      </w:r>
      <w:hyperlink r:id="rId509">
        <w:r>
          <w:rPr>
            <w:rFonts w:ascii="Times New Roman" w:cs="Times New Roman" w:eastAsia="Times New Roman" w:hAnsi="Times New Roman"/>
            <w:sz w:val="18"/>
            <w:szCs w:val="18"/>
            <w:u w:val="single" w:color="auto"/>
            <w:color w:val="0000FF"/>
          </w:rPr>
          <w:t>quarter ended March 31, 2023, filed with the SEC on May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27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2">
                      <a:extLst>
                        <a:ext uri="{28A0092B-C50C-407E-A947-70E740481C1C}"/>
                      </a:extLst>
                    </a:blip>
                    <a:srcRect/>
                    <a:stretch>
                      <a:fillRect/>
                    </a:stretch>
                  </pic:blipFill>
                  <pic:spPr bwMode="auto">
                    <a:xfrm>
                      <a:off x="0" y="0"/>
                      <a:ext cx="648271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310324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3">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14">
        <w:r>
          <w:rPr>
            <w:rFonts w:ascii="Times New Roman" w:cs="Times New Roman" w:eastAsia="Times New Roman" w:hAnsi="Times New Roman"/>
            <w:sz w:val="18"/>
            <w:szCs w:val="18"/>
            <w:u w:val="single" w:color="auto"/>
            <w:color w:val="0000FF"/>
          </w:rPr>
          <w:t>Performance Share Unit Agreement under The Hain Celestial Group, Inc. 2022 Long Term Incentive and Stock Award Plan – Wendy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081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5">
                      <a:extLst>
                        <a:ext uri="{28A0092B-C50C-407E-A947-70E740481C1C}"/>
                      </a:extLst>
                    </a:blip>
                    <a:srcRect/>
                    <a:stretch>
                      <a:fillRect/>
                    </a:stretch>
                  </pic:blipFill>
                  <pic:spPr bwMode="auto">
                    <a:xfrm>
                      <a:off x="0" y="0"/>
                      <a:ext cx="6480810" cy="8890"/>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10.2.12*</w:t>
      </w:r>
      <w:r>
        <w:rPr>
          <w:sz w:val="20"/>
          <w:szCs w:val="20"/>
          <w:color w:val="auto"/>
        </w:rPr>
        <w:tab/>
      </w:r>
      <w:hyperlink r:id="rId514">
        <w:r>
          <w:rPr>
            <w:rFonts w:ascii="Times New Roman" w:cs="Times New Roman" w:eastAsia="Times New Roman" w:hAnsi="Times New Roman"/>
            <w:sz w:val="18"/>
            <w:szCs w:val="18"/>
            <w:u w:val="single" w:color="auto"/>
            <w:color w:val="0000FF"/>
          </w:rPr>
          <w:t>Davidson (2023-2025 LTIP; Relative Total Shareholder Return) (incorporated by reference to Exhibit 10.2 of the Company’s Quarterly</w:t>
        </w:r>
      </w:hyperlink>
      <w:r>
        <w:rPr>
          <w:rFonts w:ascii="Times New Roman" w:cs="Times New Roman" w:eastAsia="Times New Roman" w:hAnsi="Times New Roman"/>
          <w:sz w:val="18"/>
          <w:szCs w:val="18"/>
          <w:u w:val="single" w:color="auto"/>
          <w:color w:val="0000FF"/>
        </w:rPr>
        <w:t xml:space="preserve"> </w:t>
      </w:r>
      <w:hyperlink r:id="rId514">
        <w:r>
          <w:rPr>
            <w:rFonts w:ascii="Times New Roman" w:cs="Times New Roman" w:eastAsia="Times New Roman" w:hAnsi="Times New Roman"/>
            <w:sz w:val="18"/>
            <w:szCs w:val="18"/>
            <w:u w:val="single" w:color="auto"/>
            <w:color w:val="0000FF"/>
          </w:rPr>
          <w:t>Report on Form 10-Q for the fiscal quarter ended March 31, 2023, filed with the SEC on May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5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7">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473138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8">
                      <a:extLst>
                        <a:ext uri="{28A0092B-C50C-407E-A947-70E740481C1C}"/>
                      </a:extLst>
                    </a:blip>
                    <a:srcRect/>
                    <a:stretch>
                      <a:fillRect/>
                    </a:stretch>
                  </pic:blipFill>
                  <pic:spPr bwMode="auto">
                    <a:xfrm>
                      <a:off x="0" y="0"/>
                      <a:ext cx="4731385"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19">
        <w:r>
          <w:rPr>
            <w:rFonts w:ascii="Times New Roman" w:cs="Times New Roman" w:eastAsia="Times New Roman" w:hAnsi="Times New Roman"/>
            <w:sz w:val="18"/>
            <w:szCs w:val="18"/>
            <w:u w:val="single" w:color="auto"/>
            <w:color w:val="0000FF"/>
          </w:rPr>
          <w:t>Performance Share Unit Agreement under The Hain Celestial Group, Inc. 2022 Long Term Incentive and Stock Award Plan – Wendy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081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6480810" cy="8255"/>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10.2.13*</w:t>
      </w:r>
      <w:r>
        <w:rPr>
          <w:sz w:val="20"/>
          <w:szCs w:val="20"/>
          <w:color w:val="auto"/>
        </w:rPr>
        <w:tab/>
      </w:r>
      <w:hyperlink r:id="rId519">
        <w:r>
          <w:rPr>
            <w:rFonts w:ascii="Times New Roman" w:cs="Times New Roman" w:eastAsia="Times New Roman" w:hAnsi="Times New Roman"/>
            <w:sz w:val="18"/>
            <w:szCs w:val="18"/>
            <w:u w:val="single" w:color="auto"/>
            <w:color w:val="0000FF"/>
          </w:rPr>
          <w:t>Davidson (2023-2025 LTIP; Absolute Total Shareholder Return) (incorporated by reference to Exhibit 10.3 of the Company’s Quarterly</w:t>
        </w:r>
      </w:hyperlink>
      <w:r>
        <w:rPr>
          <w:rFonts w:ascii="Times New Roman" w:cs="Times New Roman" w:eastAsia="Times New Roman" w:hAnsi="Times New Roman"/>
          <w:sz w:val="18"/>
          <w:szCs w:val="18"/>
          <w:u w:val="single" w:color="auto"/>
          <w:color w:val="0000FF"/>
        </w:rPr>
        <w:t xml:space="preserve"> </w:t>
      </w:r>
      <w:hyperlink r:id="rId519">
        <w:r>
          <w:rPr>
            <w:rFonts w:ascii="Times New Roman" w:cs="Times New Roman" w:eastAsia="Times New Roman" w:hAnsi="Times New Roman"/>
            <w:sz w:val="18"/>
            <w:szCs w:val="18"/>
            <w:u w:val="single" w:color="auto"/>
            <w:color w:val="0000FF"/>
          </w:rPr>
          <w:t>Report on Form 10-Q for the fiscal quarter ended March 31, 2023, filed with the SEC on May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335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648335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47313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4731385"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24">
        <w:r>
          <w:rPr>
            <w:rFonts w:ascii="Times New Roman" w:cs="Times New Roman" w:eastAsia="Times New Roman" w:hAnsi="Times New Roman"/>
            <w:sz w:val="18"/>
            <w:szCs w:val="18"/>
            <w:u w:val="single" w:color="auto"/>
            <w:color w:val="0000FF"/>
          </w:rPr>
          <w:t>Restricted Share Unit Agreement under The Hain Celestial Group, Inc. 2022 Long Term Incentive and Stock Award Plan – Wendy 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906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10.2.14*</w:t>
      </w:r>
      <w:r>
        <w:rPr>
          <w:sz w:val="20"/>
          <w:szCs w:val="20"/>
          <w:color w:val="auto"/>
        </w:rPr>
        <w:tab/>
      </w:r>
      <w:hyperlink r:id="rId524">
        <w:r>
          <w:rPr>
            <w:rFonts w:ascii="Times New Roman" w:cs="Times New Roman" w:eastAsia="Times New Roman" w:hAnsi="Times New Roman"/>
            <w:sz w:val="18"/>
            <w:szCs w:val="18"/>
            <w:u w:val="single" w:color="auto"/>
            <w:color w:val="0000FF"/>
          </w:rPr>
          <w:t>Davidson (Make-Whole RSU Award) (incorporated by reference to Exhibit 10.4 of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524">
        <w:r>
          <w:rPr>
            <w:rFonts w:ascii="Times New Roman" w:cs="Times New Roman" w:eastAsia="Times New Roman" w:hAnsi="Times New Roman"/>
            <w:sz w:val="18"/>
            <w:szCs w:val="18"/>
            <w:u w:val="single" w:color="auto"/>
            <w:color w:val="0000FF"/>
          </w:rPr>
          <w:t>fiscal quarter ended March 31, 2023, filed with the SEC on May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906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3379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8">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6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10.2.15*</w:t>
      </w:r>
      <w:r>
        <w:rPr>
          <w:sz w:val="20"/>
          <w:szCs w:val="20"/>
          <w:color w:val="auto"/>
        </w:rPr>
        <w:tab/>
      </w:r>
      <w:r>
        <w:rPr>
          <w:rFonts w:ascii="Times New Roman" w:cs="Times New Roman" w:eastAsia="Times New Roman" w:hAnsi="Times New Roman"/>
          <w:sz w:val="17"/>
          <w:szCs w:val="17"/>
          <w:u w:val="single" w:color="auto"/>
          <w:color w:val="0000FF"/>
        </w:rPr>
        <w:t>Restricted Share Unit Agreement under The Hain Celestial Group, Inc. 2022 Long Term Incentive and Stock Award Plan –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768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9">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-7620</wp:posOffset>
            </wp:positionV>
            <wp:extent cx="64376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0">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pacing w:after="0" w:line="111"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31">
        <w:r>
          <w:rPr>
            <w:rFonts w:ascii="Times New Roman" w:cs="Times New Roman" w:eastAsia="Times New Roman" w:hAnsi="Times New Roman"/>
            <w:sz w:val="18"/>
            <w:szCs w:val="18"/>
            <w:u w:val="single" w:color="auto"/>
            <w:color w:val="0000FF"/>
          </w:rPr>
          <w:t>The Hain Celestial Group, Inc. Amended and Restated 2002 Long Term Incentive and Stock Award Plan (incorporated by reference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144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2">
                      <a:extLst>
                        <a:ext uri="{28A0092B-C50C-407E-A947-70E740481C1C}"/>
                      </a:extLst>
                    </a:blip>
                    <a:srcRect/>
                    <a:stretch>
                      <a:fillRect/>
                    </a:stretch>
                  </pic:blipFill>
                  <pic:spPr bwMode="auto">
                    <a:xfrm>
                      <a:off x="0" y="0"/>
                      <a:ext cx="6481445" cy="8255"/>
                    </a:xfrm>
                    <a:prstGeom prst="rect">
                      <a:avLst/>
                    </a:prstGeom>
                    <a:noFill/>
                  </pic:spPr>
                </pic:pic>
              </a:graphicData>
            </a:graphic>
          </wp:anchor>
        </w:drawing>
      </w:r>
    </w:p>
    <w:p>
      <w:pPr>
        <w:spacing w:after="0" w:line="7" w:lineRule="exact"/>
        <w:rPr>
          <w:sz w:val="20"/>
          <w:szCs w:val="20"/>
          <w:color w:val="auto"/>
        </w:rPr>
      </w:pPr>
    </w:p>
    <w:p>
      <w:pPr>
        <w:spacing w:after="0"/>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10.3.1*</w:t>
      </w:r>
      <w:r>
        <w:rPr>
          <w:sz w:val="20"/>
          <w:szCs w:val="20"/>
          <w:color w:val="auto"/>
        </w:rPr>
        <w:tab/>
      </w:r>
      <w:hyperlink r:id="rId531">
        <w:r>
          <w:rPr>
            <w:rFonts w:ascii="Times New Roman" w:cs="Times New Roman" w:eastAsia="Times New Roman" w:hAnsi="Times New Roman"/>
            <w:sz w:val="18"/>
            <w:szCs w:val="18"/>
            <w:u w:val="single" w:color="auto"/>
            <w:color w:val="0000FF"/>
          </w:rPr>
          <w:t>Exhibit 10.2.1 of the Company’s Annual Report on Form 10-K for the fiscal year ended June 30, 2019, filed with the SEC on August 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-19050</wp:posOffset>
            </wp:positionV>
            <wp:extent cx="648398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3">
                      <a:extLst>
                        <a:ext uri="{28A0092B-C50C-407E-A947-70E740481C1C}"/>
                      </a:extLst>
                    </a:blip>
                    <a:srcRect/>
                    <a:stretch>
                      <a:fillRect/>
                    </a:stretch>
                  </pic:blipFill>
                  <pic:spPr bwMode="auto">
                    <a:xfrm>
                      <a:off x="0" y="0"/>
                      <a:ext cx="6483985" cy="8255"/>
                    </a:xfrm>
                    <a:prstGeom prst="rect">
                      <a:avLst/>
                    </a:prstGeom>
                    <a:noFill/>
                  </pic:spPr>
                </pic:pic>
              </a:graphicData>
            </a:graphic>
          </wp:anchor>
        </w:drawing>
      </w:r>
    </w:p>
    <w:p>
      <w:pPr>
        <w:ind w:left="1020"/>
        <w:spacing w:after="0"/>
        <w:rPr>
          <w:rFonts w:ascii="Times New Roman" w:cs="Times New Roman" w:eastAsia="Times New Roman" w:hAnsi="Times New Roman"/>
          <w:sz w:val="18"/>
          <w:szCs w:val="18"/>
          <w:u w:val="single" w:color="auto"/>
          <w:color w:val="0000FF"/>
        </w:rPr>
      </w:pPr>
      <w:hyperlink r:id="rId531">
        <w:r>
          <w:rPr>
            <w:rFonts w:ascii="Times New Roman" w:cs="Times New Roman" w:eastAsia="Times New Roman" w:hAnsi="Times New Roman"/>
            <w:sz w:val="18"/>
            <w:szCs w:val="18"/>
            <w:u w:val="single" w:color="auto"/>
            <w:color w:val="0000FF"/>
          </w:rPr>
          <w:t>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768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4">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-19050</wp:posOffset>
            </wp:positionV>
            <wp:extent cx="29527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5">
                      <a:extLst>
                        <a:ext uri="{28A0092B-C50C-407E-A947-70E740481C1C}"/>
                      </a:extLst>
                    </a:blip>
                    <a:srcRect/>
                    <a:stretch>
                      <a:fillRect/>
                    </a:stretch>
                  </pic:blipFill>
                  <pic:spPr bwMode="auto">
                    <a:xfrm>
                      <a:off x="0" y="0"/>
                      <a:ext cx="295275" cy="8890"/>
                    </a:xfrm>
                    <a:prstGeom prst="rect">
                      <a:avLst/>
                    </a:prstGeom>
                    <a:noFill/>
                  </pic:spPr>
                </pic:pic>
              </a:graphicData>
            </a:graphic>
          </wp:anchor>
        </w:drawing>
      </w:r>
    </w:p>
    <w:p>
      <w:pPr>
        <w:spacing w:after="0" w:line="92"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36">
        <w:r>
          <w:rPr>
            <w:rFonts w:ascii="Times New Roman" w:cs="Times New Roman" w:eastAsia="Times New Roman" w:hAnsi="Times New Roman"/>
            <w:sz w:val="18"/>
            <w:szCs w:val="18"/>
            <w:u w:val="single" w:color="auto"/>
            <w:color w:val="0000FF"/>
          </w:rPr>
          <w:t>Form of Restricted Share Unit Agreement under The Hain Celestial Group, Inc. Amended and Restated 2002 Long Term Incentive and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144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7">
                      <a:extLst>
                        <a:ext uri="{28A0092B-C50C-407E-A947-70E740481C1C}"/>
                      </a:extLst>
                    </a:blip>
                    <a:srcRect/>
                    <a:stretch>
                      <a:fillRect/>
                    </a:stretch>
                  </pic:blipFill>
                  <pic:spPr bwMode="auto">
                    <a:xfrm>
                      <a:off x="0" y="0"/>
                      <a:ext cx="6481445" cy="8890"/>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536">
        <w:r>
          <w:rPr>
            <w:rFonts w:ascii="Times New Roman" w:cs="Times New Roman" w:eastAsia="Times New Roman" w:hAnsi="Times New Roman"/>
            <w:sz w:val="18"/>
            <w:szCs w:val="18"/>
            <w:u w:val="single" w:color="auto"/>
            <w:color w:val="0000FF"/>
          </w:rPr>
          <w:t>Award Plan – Non-Employee Director Awards (incorporated by reference to Exhibit 10.4 of the Company’s Quarterly Report on Form 10-Q</w:t>
        </w:r>
      </w:hyperlink>
      <w:r>
        <w:rPr>
          <w:rFonts w:ascii="Times New Roman" w:cs="Times New Roman" w:eastAsia="Times New Roman" w:hAnsi="Times New Roman"/>
          <w:sz w:val="18"/>
          <w:szCs w:val="18"/>
          <w:u w:val="single" w:color="auto"/>
          <w:color w:val="0000FF"/>
        </w:rPr>
        <w:t xml:space="preserve"> </w:t>
      </w:r>
      <w:hyperlink r:id="rId536">
        <w:r>
          <w:rPr>
            <w:rFonts w:ascii="Times New Roman" w:cs="Times New Roman" w:eastAsia="Times New Roman" w:hAnsi="Times New Roman"/>
            <w:sz w:val="18"/>
            <w:szCs w:val="18"/>
            <w:u w:val="single" w:color="auto"/>
            <w:color w:val="0000FF"/>
          </w:rPr>
          <w:t>for the fiscal quarter ended December 31, 2021, filed with the SEC on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5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9">
                      <a:extLst>
                        <a:ext uri="{28A0092B-C50C-407E-A947-70E740481C1C}"/>
                      </a:extLst>
                    </a:blip>
                    <a:srcRect/>
                    <a:stretch>
                      <a:fillRect/>
                    </a:stretch>
                  </pic:blipFill>
                  <pic:spPr bwMode="auto">
                    <a:xfrm>
                      <a:off x="0" y="0"/>
                      <a:ext cx="648589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408368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0">
                      <a:extLst>
                        <a:ext uri="{28A0092B-C50C-407E-A947-70E740481C1C}"/>
                      </a:extLst>
                    </a:blip>
                    <a:srcRect/>
                    <a:stretch>
                      <a:fillRect/>
                    </a:stretch>
                  </pic:blipFill>
                  <pic:spPr bwMode="auto">
                    <a:xfrm>
                      <a:off x="0" y="0"/>
                      <a:ext cx="4083685"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41">
        <w:r>
          <w:rPr>
            <w:rFonts w:ascii="Times New Roman" w:cs="Times New Roman" w:eastAsia="Times New Roman" w:hAnsi="Times New Roman"/>
            <w:sz w:val="18"/>
            <w:szCs w:val="18"/>
            <w:u w:val="single" w:color="auto"/>
            <w:color w:val="0000FF"/>
          </w:rPr>
          <w:t>Form of Restricted Share Unit Agreement under The Hain Celestial Group, Inc. Amended and Restated 2002 Long Term Incentive and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144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6481445" cy="8255"/>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10.3.3*</w:t>
      </w:r>
      <w:r>
        <w:rPr>
          <w:sz w:val="20"/>
          <w:szCs w:val="20"/>
          <w:color w:val="auto"/>
        </w:rPr>
        <w:tab/>
      </w:r>
      <w:hyperlink r:id="rId541">
        <w:r>
          <w:rPr>
            <w:rFonts w:ascii="Times New Roman" w:cs="Times New Roman" w:eastAsia="Times New Roman" w:hAnsi="Times New Roman"/>
            <w:sz w:val="18"/>
            <w:szCs w:val="18"/>
            <w:u w:val="single" w:color="auto"/>
            <w:color w:val="0000FF"/>
          </w:rPr>
          <w:t>Award Plan – 2022-2024 LTIP (incorporated by reference to Exhibit 10.5 of the Company’s Quarterly Report on Form 10-Q for the fiscal</w:t>
        </w:r>
      </w:hyperlink>
      <w:r>
        <w:rPr>
          <w:rFonts w:ascii="Times New Roman" w:cs="Times New Roman" w:eastAsia="Times New Roman" w:hAnsi="Times New Roman"/>
          <w:sz w:val="18"/>
          <w:szCs w:val="18"/>
          <w:u w:val="single" w:color="auto"/>
          <w:color w:val="0000FF"/>
        </w:rPr>
        <w:t xml:space="preserve"> </w:t>
      </w:r>
      <w:hyperlink r:id="rId541">
        <w:r>
          <w:rPr>
            <w:rFonts w:ascii="Times New Roman" w:cs="Times New Roman" w:eastAsia="Times New Roman" w:hAnsi="Times New Roman"/>
            <w:sz w:val="18"/>
            <w:szCs w:val="18"/>
            <w:u w:val="single" w:color="auto"/>
            <w:color w:val="0000FF"/>
          </w:rPr>
          <w:t>quarter ended December 31, 2021, filed with the SEC on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68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52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648525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347726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3477260" cy="8255"/>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46">
        <w:r>
          <w:rPr>
            <w:rFonts w:ascii="Times New Roman" w:cs="Times New Roman" w:eastAsia="Times New Roman" w:hAnsi="Times New Roman"/>
            <w:sz w:val="18"/>
            <w:szCs w:val="18"/>
            <w:u w:val="single" w:color="auto"/>
            <w:color w:val="0000FF"/>
          </w:rPr>
          <w:t>Form of Performance Share Unit Agreement under The Hain Celestial Group, Inc. Amended and Restated 2002 Long Term Incentive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398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7">
                      <a:extLst>
                        <a:ext uri="{28A0092B-C50C-407E-A947-70E740481C1C}"/>
                      </a:extLst>
                    </a:blip>
                    <a:srcRect/>
                    <a:stretch>
                      <a:fillRect/>
                    </a:stretch>
                  </pic:blipFill>
                  <pic:spPr bwMode="auto">
                    <a:xfrm>
                      <a:off x="0" y="0"/>
                      <a:ext cx="6483985" cy="8255"/>
                    </a:xfrm>
                    <a:prstGeom prst="rect">
                      <a:avLst/>
                    </a:prstGeom>
                    <a:noFill/>
                  </pic:spPr>
                </pic:pic>
              </a:graphicData>
            </a:graphic>
          </wp:anchor>
        </w:drawing>
      </w:r>
    </w:p>
    <w:p>
      <w:pPr>
        <w:spacing w:after="0" w:line="7" w:lineRule="exact"/>
        <w:rPr>
          <w:sz w:val="20"/>
          <w:szCs w:val="20"/>
          <w:color w:val="auto"/>
        </w:rPr>
      </w:pPr>
    </w:p>
    <w:p>
      <w:pPr>
        <w:ind w:left="10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10.3.4*</w:t>
      </w:r>
      <w:r>
        <w:rPr>
          <w:sz w:val="20"/>
          <w:szCs w:val="20"/>
          <w:color w:val="auto"/>
        </w:rPr>
        <w:tab/>
      </w:r>
      <w:hyperlink r:id="rId546">
        <w:r>
          <w:rPr>
            <w:rFonts w:ascii="Times New Roman" w:cs="Times New Roman" w:eastAsia="Times New Roman" w:hAnsi="Times New Roman"/>
            <w:sz w:val="18"/>
            <w:szCs w:val="18"/>
            <w:u w:val="single" w:color="auto"/>
            <w:color w:val="0000FF"/>
          </w:rPr>
          <w:t>Stock Award Plan – 2022-2024 LTIP (Relative Total Shareholder Return) (incorporated by reference to Exhibit 10.7 of the Company’s</w:t>
        </w:r>
      </w:hyperlink>
      <w:r>
        <w:rPr>
          <w:rFonts w:ascii="Times New Roman" w:cs="Times New Roman" w:eastAsia="Times New Roman" w:hAnsi="Times New Roman"/>
          <w:sz w:val="18"/>
          <w:szCs w:val="18"/>
          <w:u w:val="single" w:color="auto"/>
          <w:color w:val="0000FF"/>
        </w:rPr>
        <w:t xml:space="preserve"> </w:t>
      </w:r>
      <w:hyperlink r:id="rId546">
        <w:r>
          <w:rPr>
            <w:rFonts w:ascii="Times New Roman" w:cs="Times New Roman" w:eastAsia="Times New Roman" w:hAnsi="Times New Roman"/>
            <w:sz w:val="18"/>
            <w:szCs w:val="18"/>
            <w:u w:val="single" w:color="auto"/>
            <w:color w:val="0000FF"/>
          </w:rPr>
          <w:t>Quarterly Report on Form 10-Q for the fiscal quarter ended December 31, 2021, filed with the SEC on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774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398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9">
                      <a:extLst>
                        <a:ext uri="{28A0092B-C50C-407E-A947-70E740481C1C}"/>
                      </a:extLst>
                    </a:blip>
                    <a:srcRect/>
                    <a:stretch>
                      <a:fillRect/>
                    </a:stretch>
                  </pic:blipFill>
                  <pic:spPr bwMode="auto">
                    <a:xfrm>
                      <a:off x="0" y="0"/>
                      <a:ext cx="648398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557149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0">
                      <a:extLst>
                        <a:ext uri="{28A0092B-C50C-407E-A947-70E740481C1C}"/>
                      </a:extLst>
                    </a:blip>
                    <a:srcRect/>
                    <a:stretch>
                      <a:fillRect/>
                    </a:stretch>
                  </pic:blipFill>
                  <pic:spPr bwMode="auto">
                    <a:xfrm>
                      <a:off x="0" y="0"/>
                      <a:ext cx="5571490" cy="8890"/>
                    </a:xfrm>
                    <a:prstGeom prst="rect">
                      <a:avLst/>
                    </a:prstGeom>
                    <a:noFill/>
                  </pic:spPr>
                </pic:pic>
              </a:graphicData>
            </a:graphic>
          </wp:anchor>
        </w:drawing>
      </w:r>
    </w:p>
    <w:p>
      <w:pPr>
        <w:spacing w:after="0" w:line="6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FF"/>
        </w:rPr>
      </w:pPr>
      <w:hyperlink r:id="rId551">
        <w:r>
          <w:rPr>
            <w:rFonts w:ascii="Times New Roman" w:cs="Times New Roman" w:eastAsia="Times New Roman" w:hAnsi="Times New Roman"/>
            <w:sz w:val="18"/>
            <w:szCs w:val="18"/>
            <w:u w:val="single" w:color="auto"/>
            <w:color w:val="0000FF"/>
          </w:rPr>
          <w:t>Form of Performance Share Unit Agreement under The Hain Celestial Group, Inc. Amended and Restated 2002 Long Term Incentive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-7620</wp:posOffset>
            </wp:positionV>
            <wp:extent cx="648398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6483985" cy="8890"/>
                    </a:xfrm>
                    <a:prstGeom prst="rect">
                      <a:avLst/>
                    </a:prstGeom>
                    <a:noFill/>
                  </pic:spPr>
                </pic:pic>
              </a:graphicData>
            </a:graphic>
          </wp:anchor>
        </w:drawing>
      </w:r>
    </w:p>
    <w:p>
      <w:pPr>
        <w:spacing w:after="0" w:line="7" w:lineRule="exact"/>
        <w:rPr>
          <w:sz w:val="20"/>
          <w:szCs w:val="20"/>
          <w:color w:val="auto"/>
        </w:rPr>
      </w:pPr>
    </w:p>
    <w:p>
      <w:pPr>
        <w:ind w:left="1020" w:right="20" w:hanging="1011"/>
        <w:spacing w:after="0" w:line="260" w:lineRule="auto"/>
        <w:tabs>
          <w:tab w:leader="none" w:pos="10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10.3.5*</w:t>
      </w:r>
      <w:r>
        <w:rPr>
          <w:sz w:val="20"/>
          <w:szCs w:val="20"/>
          <w:color w:val="auto"/>
        </w:rPr>
        <w:tab/>
      </w:r>
      <w:hyperlink r:id="rId551">
        <w:r>
          <w:rPr>
            <w:rFonts w:ascii="Times New Roman" w:cs="Times New Roman" w:eastAsia="Times New Roman" w:hAnsi="Times New Roman"/>
            <w:sz w:val="18"/>
            <w:szCs w:val="18"/>
            <w:u w:val="single" w:color="auto"/>
            <w:color w:val="0000FF"/>
          </w:rPr>
          <w:t>Stock Award Plan – 2022-2024 LTIP (Absolute Total Shareholder Return) (incorporated by reference to Exhibit 10.6 of the Company’s</w:t>
        </w:r>
      </w:hyperlink>
      <w:r>
        <w:rPr>
          <w:rFonts w:ascii="Times New Roman" w:cs="Times New Roman" w:eastAsia="Times New Roman" w:hAnsi="Times New Roman"/>
          <w:sz w:val="18"/>
          <w:szCs w:val="18"/>
          <w:u w:val="single" w:color="auto"/>
          <w:color w:val="0000FF"/>
        </w:rPr>
        <w:t xml:space="preserve"> </w:t>
      </w:r>
      <w:hyperlink r:id="rId551">
        <w:r>
          <w:rPr>
            <w:rFonts w:ascii="Times New Roman" w:cs="Times New Roman" w:eastAsia="Times New Roman" w:hAnsi="Times New Roman"/>
            <w:sz w:val="18"/>
            <w:szCs w:val="18"/>
            <w:u w:val="single" w:color="auto"/>
            <w:color w:val="0000FF"/>
          </w:rPr>
          <w:t>Quarterly Report on Form 10-Q for the fiscal quarter ended December 31, 2021, filed with the SEC on February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-172720</wp:posOffset>
            </wp:positionV>
            <wp:extent cx="648144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-35560</wp:posOffset>
            </wp:positionV>
            <wp:extent cx="557149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5571490" cy="8890"/>
                    </a:xfrm>
                    <a:prstGeom prst="rect">
                      <a:avLst/>
                    </a:prstGeom>
                    <a:noFill/>
                  </pic:spPr>
                </pic:pic>
              </a:graphicData>
            </a:graphic>
          </wp:anchor>
        </w:drawing>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774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10.3.8*</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10.3.9*</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557">
        <w:r>
          <w:rPr>
            <w:rFonts w:ascii="Times New Roman" w:cs="Times New Roman" w:eastAsia="Times New Roman" w:hAnsi="Times New Roman"/>
            <w:sz w:val="18"/>
            <w:szCs w:val="18"/>
            <w:u w:val="single" w:color="auto"/>
            <w:color w:val="0000FF"/>
          </w:rPr>
          <w:t>Form of Restricted Share Unit Agreement under The Hain Celestial Group, Inc. Amended and Restated 2002 Long Term Incentive and Stock</w:t>
        </w:r>
      </w:hyperlink>
      <w:r>
        <w:rPr>
          <w:rFonts w:ascii="Times New Roman" w:cs="Times New Roman" w:eastAsia="Times New Roman" w:hAnsi="Times New Roman"/>
          <w:sz w:val="18"/>
          <w:szCs w:val="18"/>
          <w:u w:val="single" w:color="auto"/>
          <w:color w:val="0000FF"/>
        </w:rPr>
        <w:t xml:space="preserve"> </w:t>
      </w:r>
      <w:hyperlink r:id="rId557">
        <w:r>
          <w:rPr>
            <w:rFonts w:ascii="Times New Roman" w:cs="Times New Roman" w:eastAsia="Times New Roman" w:hAnsi="Times New Roman"/>
            <w:sz w:val="18"/>
            <w:szCs w:val="18"/>
            <w:u w:val="single" w:color="auto"/>
            <w:color w:val="0000FF"/>
          </w:rPr>
          <w:t>Award Plan – Special Recognition Awards (incorporated by reference to Exhibit 10.8 of the Company’s Quarterly Report on Form 10-Q for</w:t>
        </w:r>
      </w:hyperlink>
      <w:r>
        <w:rPr>
          <w:rFonts w:ascii="Times New Roman" w:cs="Times New Roman" w:eastAsia="Times New Roman" w:hAnsi="Times New Roman"/>
          <w:sz w:val="18"/>
          <w:szCs w:val="18"/>
          <w:u w:val="single" w:color="auto"/>
          <w:color w:val="0000FF"/>
        </w:rPr>
        <w:t xml:space="preserve"> </w:t>
      </w:r>
      <w:hyperlink r:id="rId557">
        <w:r>
          <w:rPr>
            <w:rFonts w:ascii="Times New Roman" w:cs="Times New Roman" w:eastAsia="Times New Roman" w:hAnsi="Times New Roman"/>
            <w:sz w:val="18"/>
            <w:szCs w:val="18"/>
            <w:u w:val="single" w:color="auto"/>
            <w:color w:val="0000FF"/>
          </w:rPr>
          <w:t>the fiscal quarter ended December 31, 2021, filed with the SEC on February 3,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14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08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39217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392176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562">
        <w:r>
          <w:rPr>
            <w:rFonts w:ascii="Times New Roman" w:cs="Times New Roman" w:eastAsia="Times New Roman" w:hAnsi="Times New Roman"/>
            <w:sz w:val="18"/>
            <w:szCs w:val="18"/>
            <w:u w:val="single" w:color="auto"/>
            <w:color w:val="0000FF"/>
          </w:rPr>
          <w:t>Form of Restricted Share Unit Agreement under The Hain Celestial Group, Inc. Amended and Restated 2002 Long Term Incentive and Stock</w:t>
        </w:r>
      </w:hyperlink>
      <w:r>
        <w:rPr>
          <w:rFonts w:ascii="Times New Roman" w:cs="Times New Roman" w:eastAsia="Times New Roman" w:hAnsi="Times New Roman"/>
          <w:sz w:val="18"/>
          <w:szCs w:val="18"/>
          <w:u w:val="single" w:color="auto"/>
          <w:color w:val="0000FF"/>
        </w:rPr>
        <w:t xml:space="preserve"> </w:t>
      </w:r>
      <w:hyperlink r:id="rId562">
        <w:r>
          <w:rPr>
            <w:rFonts w:ascii="Times New Roman" w:cs="Times New Roman" w:eastAsia="Times New Roman" w:hAnsi="Times New Roman"/>
            <w:sz w:val="18"/>
            <w:szCs w:val="18"/>
            <w:u w:val="single" w:color="auto"/>
            <w:color w:val="0000FF"/>
          </w:rPr>
          <w:t>Award Plan – 2023-2025 LTIP (incorporated by reference to Exhibit 10.1 of the Company’s Quarterly Report on Form 10-Q for the fiscal</w:t>
        </w:r>
      </w:hyperlink>
      <w:r>
        <w:rPr>
          <w:rFonts w:ascii="Times New Roman" w:cs="Times New Roman" w:eastAsia="Times New Roman" w:hAnsi="Times New Roman"/>
          <w:sz w:val="18"/>
          <w:szCs w:val="18"/>
          <w:u w:val="single" w:color="auto"/>
          <w:color w:val="0000FF"/>
        </w:rPr>
        <w:t xml:space="preserve"> </w:t>
      </w:r>
      <w:hyperlink r:id="rId562">
        <w:r>
          <w:rPr>
            <w:rFonts w:ascii="Times New Roman" w:cs="Times New Roman" w:eastAsia="Times New Roman" w:hAnsi="Times New Roman"/>
            <w:sz w:val="18"/>
            <w:szCs w:val="18"/>
            <w:u w:val="single" w:color="auto"/>
            <w:color w:val="0000FF"/>
          </w:rPr>
          <w:t>quarter ended September 30, 2022, filed with the SEC on November 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144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4">
                      <a:extLst>
                        <a:ext uri="{28A0092B-C50C-407E-A947-70E740481C1C}"/>
                      </a:extLst>
                    </a:blip>
                    <a:srcRect/>
                    <a:stretch>
                      <a:fillRect/>
                    </a:stretch>
                  </pic:blipFill>
                  <pic:spPr bwMode="auto">
                    <a:xfrm>
                      <a:off x="0" y="0"/>
                      <a:ext cx="648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525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5">
                      <a:extLst>
                        <a:ext uri="{28A0092B-C50C-407E-A947-70E740481C1C}"/>
                      </a:extLst>
                    </a:blip>
                    <a:srcRect/>
                    <a:stretch>
                      <a:fillRect/>
                    </a:stretch>
                  </pic:blipFill>
                  <pic:spPr bwMode="auto">
                    <a:xfrm>
                      <a:off x="0" y="0"/>
                      <a:ext cx="64852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356616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567">
        <w:r>
          <w:rPr>
            <w:rFonts w:ascii="Times New Roman" w:cs="Times New Roman" w:eastAsia="Times New Roman" w:hAnsi="Times New Roman"/>
            <w:sz w:val="18"/>
            <w:szCs w:val="18"/>
            <w:u w:val="single" w:color="auto"/>
            <w:color w:val="0000FF"/>
          </w:rPr>
          <w:t>Form of Performance Share Unit Agreement under The Hain Celestial Group, Inc. Amended and Restated 2002 Long Term Incentive and</w:t>
        </w:r>
      </w:hyperlink>
      <w:r>
        <w:rPr>
          <w:rFonts w:ascii="Times New Roman" w:cs="Times New Roman" w:eastAsia="Times New Roman" w:hAnsi="Times New Roman"/>
          <w:sz w:val="18"/>
          <w:szCs w:val="18"/>
          <w:u w:val="single" w:color="auto"/>
          <w:color w:val="0000FF"/>
        </w:rPr>
        <w:t xml:space="preserve"> </w:t>
      </w:r>
      <w:hyperlink r:id="rId567">
        <w:r>
          <w:rPr>
            <w:rFonts w:ascii="Times New Roman" w:cs="Times New Roman" w:eastAsia="Times New Roman" w:hAnsi="Times New Roman"/>
            <w:sz w:val="18"/>
            <w:szCs w:val="18"/>
            <w:u w:val="single" w:color="auto"/>
            <w:color w:val="0000FF"/>
          </w:rPr>
          <w:t>Stock Award Plan – 2023-2025 LTIP (Relative Total Shareholder Return) (incorporated by reference to Exhibit 10.3 of the Company’s</w:t>
        </w:r>
      </w:hyperlink>
      <w:r>
        <w:rPr>
          <w:rFonts w:ascii="Times New Roman" w:cs="Times New Roman" w:eastAsia="Times New Roman" w:hAnsi="Times New Roman"/>
          <w:sz w:val="18"/>
          <w:szCs w:val="18"/>
          <w:u w:val="single" w:color="auto"/>
          <w:color w:val="0000FF"/>
        </w:rPr>
        <w:t xml:space="preserve"> </w:t>
      </w:r>
      <w:hyperlink r:id="rId567">
        <w:r>
          <w:rPr>
            <w:rFonts w:ascii="Times New Roman" w:cs="Times New Roman" w:eastAsia="Times New Roman" w:hAnsi="Times New Roman"/>
            <w:sz w:val="18"/>
            <w:szCs w:val="18"/>
            <w:u w:val="single" w:color="auto"/>
            <w:color w:val="0000FF"/>
          </w:rPr>
          <w:t>Quarterly Report on Form 10-Q for the fiscal quarter ended September 30, 2022, filed with the SEC on November 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398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9">
                      <a:extLst>
                        <a:ext uri="{28A0092B-C50C-407E-A947-70E740481C1C}"/>
                      </a:extLst>
                    </a:blip>
                    <a:srcRect/>
                    <a:stretch>
                      <a:fillRect/>
                    </a:stretch>
                  </pic:blipFill>
                  <pic:spPr bwMode="auto">
                    <a:xfrm>
                      <a:off x="0" y="0"/>
                      <a:ext cx="6483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398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0">
                      <a:extLst>
                        <a:ext uri="{28A0092B-C50C-407E-A947-70E740481C1C}"/>
                      </a:extLst>
                    </a:blip>
                    <a:srcRect/>
                    <a:stretch>
                      <a:fillRect/>
                    </a:stretch>
                  </pic:blipFill>
                  <pic:spPr bwMode="auto">
                    <a:xfrm>
                      <a:off x="0" y="0"/>
                      <a:ext cx="6483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6603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1">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66" w:lineRule="auto"/>
        <w:rPr>
          <w:rFonts w:ascii="Times New Roman" w:cs="Times New Roman" w:eastAsia="Times New Roman" w:hAnsi="Times New Roman"/>
          <w:sz w:val="18"/>
          <w:szCs w:val="18"/>
          <w:u w:val="single" w:color="auto"/>
          <w:color w:val="0000FF"/>
        </w:rPr>
      </w:pPr>
      <w:hyperlink r:id="rId572">
        <w:r>
          <w:rPr>
            <w:rFonts w:ascii="Times New Roman" w:cs="Times New Roman" w:eastAsia="Times New Roman" w:hAnsi="Times New Roman"/>
            <w:sz w:val="18"/>
            <w:szCs w:val="18"/>
            <w:u w:val="single" w:color="auto"/>
            <w:color w:val="0000FF"/>
          </w:rPr>
          <w:t>Form of Performance Share Unit Agreement under The Hain Celestial Group, Inc. Amended and Restated 2002 Long Term Incentive and</w:t>
        </w:r>
      </w:hyperlink>
      <w:r>
        <w:rPr>
          <w:rFonts w:ascii="Times New Roman" w:cs="Times New Roman" w:eastAsia="Times New Roman" w:hAnsi="Times New Roman"/>
          <w:sz w:val="18"/>
          <w:szCs w:val="18"/>
          <w:u w:val="single" w:color="auto"/>
          <w:color w:val="0000FF"/>
        </w:rPr>
        <w:t xml:space="preserve"> </w:t>
      </w:r>
      <w:hyperlink r:id="rId572">
        <w:r>
          <w:rPr>
            <w:rFonts w:ascii="Times New Roman" w:cs="Times New Roman" w:eastAsia="Times New Roman" w:hAnsi="Times New Roman"/>
            <w:sz w:val="18"/>
            <w:szCs w:val="18"/>
            <w:u w:val="single" w:color="auto"/>
            <w:color w:val="0000FF"/>
          </w:rPr>
          <w:t>Stock Award Plan – 2023-2025 LTIP (Absolute Total Shareholder Return) (incorporated by reference to Exhibit 10.2 of the Company’s</w:t>
        </w:r>
      </w:hyperlink>
      <w:r>
        <w:rPr>
          <w:rFonts w:ascii="Times New Roman" w:cs="Times New Roman" w:eastAsia="Times New Roman" w:hAnsi="Times New Roman"/>
          <w:sz w:val="18"/>
          <w:szCs w:val="18"/>
          <w:u w:val="single" w:color="auto"/>
          <w:color w:val="0000FF"/>
        </w:rPr>
        <w:t xml:space="preserve"> </w:t>
      </w:r>
      <w:hyperlink r:id="rId572">
        <w:r>
          <w:rPr>
            <w:rFonts w:ascii="Times New Roman" w:cs="Times New Roman" w:eastAsia="Times New Roman" w:hAnsi="Times New Roman"/>
            <w:sz w:val="18"/>
            <w:szCs w:val="18"/>
            <w:u w:val="single" w:color="auto"/>
            <w:color w:val="0000FF"/>
          </w:rPr>
          <w:t>Quarterly Report on Form 10-Q for the fiscal quarter ended September 30, 2022, filed with the SEC on November 8, 2022).</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-641985</wp:posOffset>
            </wp:positionH>
            <wp:positionV relativeFrom="paragraph">
              <wp:posOffset>-13335</wp:posOffset>
            </wp:positionV>
            <wp:extent cx="7132320" cy="774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-313055</wp:posOffset>
            </wp:positionV>
            <wp:extent cx="648398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4">
                      <a:extLst>
                        <a:ext uri="{28A0092B-C50C-407E-A947-70E740481C1C}"/>
                      </a:extLst>
                    </a:blip>
                    <a:srcRect/>
                    <a:stretch>
                      <a:fillRect/>
                    </a:stretch>
                  </pic:blipFill>
                  <pic:spPr bwMode="auto">
                    <a:xfrm>
                      <a:off x="0" y="0"/>
                      <a:ext cx="64839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-175895</wp:posOffset>
            </wp:positionV>
            <wp:extent cx="648144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5">
                      <a:extLst>
                        <a:ext uri="{28A0092B-C50C-407E-A947-70E740481C1C}"/>
                      </a:extLst>
                    </a:blip>
                    <a:srcRect/>
                    <a:stretch>
                      <a:fillRect/>
                    </a:stretch>
                  </pic:blipFill>
                  <pic:spPr bwMode="auto">
                    <a:xfrm>
                      <a:off x="0" y="0"/>
                      <a:ext cx="648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56603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6">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577">
        <w:r>
          <w:rPr>
            <w:rFonts w:ascii="Times New Roman" w:cs="Times New Roman" w:eastAsia="Times New Roman" w:hAnsi="Times New Roman"/>
            <w:sz w:val="18"/>
            <w:szCs w:val="18"/>
            <w:u w:val="single" w:color="auto"/>
            <w:color w:val="0000FF"/>
          </w:rPr>
          <w:t>The Hain Celestial Group, Inc. Amended and Restated Executive Incentive Plan (incorporated by reference to Exhibit 10.1 of the Company’s</w:t>
        </w:r>
      </w:hyperlink>
      <w:r>
        <w:rPr>
          <w:rFonts w:ascii="Times New Roman" w:cs="Times New Roman" w:eastAsia="Times New Roman" w:hAnsi="Times New Roman"/>
          <w:sz w:val="18"/>
          <w:szCs w:val="18"/>
          <w:u w:val="single" w:color="auto"/>
          <w:color w:val="0000FF"/>
        </w:rPr>
        <w:t xml:space="preserve"> </w:t>
      </w:r>
      <w:hyperlink r:id="rId577">
        <w:r>
          <w:rPr>
            <w:rFonts w:ascii="Times New Roman" w:cs="Times New Roman" w:eastAsia="Times New Roman" w:hAnsi="Times New Roman"/>
            <w:sz w:val="18"/>
            <w:szCs w:val="18"/>
            <w:u w:val="single" w:color="auto"/>
            <w:color w:val="0000FF"/>
          </w:rPr>
          <w:t>Current Report on Form 8-K filed with the SEC on November 1,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8">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335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9">
                      <a:extLst>
                        <a:ext uri="{28A0092B-C50C-407E-A947-70E740481C1C}"/>
                      </a:extLst>
                    </a:blip>
                    <a:srcRect/>
                    <a:stretch>
                      <a:fillRect/>
                    </a:stretch>
                  </pic:blipFill>
                  <pic:spPr bwMode="auto">
                    <a:xfrm>
                      <a:off x="0" y="0"/>
                      <a:ext cx="648335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328104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0">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Offer Letter, dated May 8, 2025, between the Company and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68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35312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2">
                      <a:extLst>
                        <a:ext uri="{28A0092B-C50C-407E-A947-70E740481C1C}"/>
                      </a:extLst>
                    </a:blip>
                    <a:srcRect/>
                    <a:stretch>
                      <a:fillRect/>
                    </a:stretch>
                  </pic:blipFill>
                  <pic:spPr bwMode="auto">
                    <a:xfrm>
                      <a:off x="0" y="0"/>
                      <a:ext cx="3531235" cy="8255"/>
                    </a:xfrm>
                    <a:prstGeom prst="rect">
                      <a:avLst/>
                    </a:prstGeom>
                    <a:noFill/>
                  </pic:spPr>
                </pic:pic>
              </a:graphicData>
            </a:graphic>
          </wp:anchor>
        </w:drawing>
      </w:r>
    </w:p>
    <w:p>
      <w:pPr>
        <w:spacing w:after="0" w:line="124"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583">
        <w:r>
          <w:rPr>
            <w:rFonts w:ascii="Times New Roman" w:cs="Times New Roman" w:eastAsia="Times New Roman" w:hAnsi="Times New Roman"/>
            <w:sz w:val="18"/>
            <w:szCs w:val="18"/>
            <w:u w:val="single" w:color="auto"/>
            <w:color w:val="0000FF"/>
          </w:rPr>
          <w:t>Employment Agreement, dated as of November 22, 2022, between the Company and Wendy Davidson (incorporated by reference to Exhibit</w:t>
        </w:r>
      </w:hyperlink>
      <w:r>
        <w:rPr>
          <w:rFonts w:ascii="Times New Roman" w:cs="Times New Roman" w:eastAsia="Times New Roman" w:hAnsi="Times New Roman"/>
          <w:sz w:val="18"/>
          <w:szCs w:val="18"/>
          <w:u w:val="single" w:color="auto"/>
          <w:color w:val="0000FF"/>
        </w:rPr>
        <w:t xml:space="preserve"> </w:t>
      </w:r>
      <w:hyperlink r:id="rId583">
        <w:r>
          <w:rPr>
            <w:rFonts w:ascii="Times New Roman" w:cs="Times New Roman" w:eastAsia="Times New Roman" w:hAnsi="Times New Roman"/>
            <w:sz w:val="18"/>
            <w:szCs w:val="18"/>
            <w:u w:val="single" w:color="auto"/>
            <w:color w:val="0000FF"/>
          </w:rPr>
          <w:t>10.1 of the Company’s Current Report on Form 8-K filed with the SEC on November 28,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4">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906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441388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6">
                      <a:extLst>
                        <a:ext uri="{28A0092B-C50C-407E-A947-70E740481C1C}"/>
                      </a:extLst>
                    </a:blip>
                    <a:srcRect/>
                    <a:stretch>
                      <a:fillRect/>
                    </a:stretch>
                  </pic:blipFill>
                  <pic:spPr bwMode="auto">
                    <a:xfrm>
                      <a:off x="0" y="0"/>
                      <a:ext cx="4413885"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Separation Agreement, dated May 21, 2025, between the Company and Wendy Davidson.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74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7">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412178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8">
                      <a:extLst>
                        <a:ext uri="{28A0092B-C50C-407E-A947-70E740481C1C}"/>
                      </a:extLst>
                    </a:blip>
                    <a:srcRect/>
                    <a:stretch>
                      <a:fillRect/>
                    </a:stretch>
                  </pic:blipFill>
                  <pic:spPr bwMode="auto">
                    <a:xfrm>
                      <a:off x="0" y="0"/>
                      <a:ext cx="4121785" cy="8890"/>
                    </a:xfrm>
                    <a:prstGeom prst="rect">
                      <a:avLst/>
                    </a:prstGeom>
                    <a:noFill/>
                  </pic:spPr>
                </pic:pic>
              </a:graphicData>
            </a:graphic>
          </wp:anchor>
        </w:drawing>
      </w:r>
    </w:p>
    <w:p>
      <w:pPr>
        <w:spacing w:after="0" w:line="124"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589">
        <w:r>
          <w:rPr>
            <w:rFonts w:ascii="Times New Roman" w:cs="Times New Roman" w:eastAsia="Times New Roman" w:hAnsi="Times New Roman"/>
            <w:sz w:val="18"/>
            <w:szCs w:val="18"/>
            <w:u w:val="single" w:color="auto"/>
            <w:color w:val="0000FF"/>
          </w:rPr>
          <w:t>Offer Letter, dated August 23, 2023, between the Company and Lee A. Boyce (incorporated by reference to Exhibit 10.2 of the Company’s</w:t>
        </w:r>
      </w:hyperlink>
      <w:r>
        <w:rPr>
          <w:rFonts w:ascii="Times New Roman" w:cs="Times New Roman" w:eastAsia="Times New Roman" w:hAnsi="Times New Roman"/>
          <w:sz w:val="18"/>
          <w:szCs w:val="18"/>
          <w:u w:val="single" w:color="auto"/>
          <w:color w:val="0000FF"/>
        </w:rPr>
        <w:t xml:space="preserve"> </w:t>
      </w:r>
      <w:hyperlink r:id="rId589">
        <w:r>
          <w:rPr>
            <w:rFonts w:ascii="Times New Roman" w:cs="Times New Roman" w:eastAsia="Times New Roman" w:hAnsi="Times New Roman"/>
            <w:sz w:val="18"/>
            <w:szCs w:val="18"/>
            <w:u w:val="single" w:color="auto"/>
            <w:color w:val="0000FF"/>
          </w:rPr>
          <w:t>Quarterly Report on Form 10-Q for the fiscal quarter ended September 30, 2023, filed with the SEC on November 7,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0">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20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91">
                      <a:extLst>
                        <a:ext uri="{28A0092B-C50C-407E-A947-70E740481C1C}"/>
                      </a:extLst>
                    </a:blip>
                    <a:srcRect/>
                    <a:stretch>
                      <a:fillRect/>
                    </a:stretch>
                  </pic:blipFill>
                  <pic:spPr bwMode="auto">
                    <a:xfrm>
                      <a:off x="0" y="0"/>
                      <a:ext cx="6482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56603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2">
                      <a:extLst>
                        <a:ext uri="{28A0092B-C50C-407E-A947-70E740481C1C}"/>
                      </a:extLst>
                    </a:blip>
                    <a:srcRect/>
                    <a:stretch>
                      <a:fillRect/>
                    </a:stretch>
                  </pic:blipFill>
                  <pic:spPr bwMode="auto">
                    <a:xfrm>
                      <a:off x="0" y="0"/>
                      <a:ext cx="566039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Offer Letter, dated March 15, 2024, between the Company and Chad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13716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368998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4">
                      <a:extLst>
                        <a:ext uri="{28A0092B-C50C-407E-A947-70E740481C1C}"/>
                      </a:extLst>
                    </a:blip>
                    <a:srcRect/>
                    <a:stretch>
                      <a:fillRect/>
                    </a:stretch>
                  </pic:blipFill>
                  <pic:spPr bwMode="auto">
                    <a:xfrm>
                      <a:off x="0" y="0"/>
                      <a:ext cx="368998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Separation Agreement, dated August 1, 2025, between the Company and Chad Marquardt.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17145</wp:posOffset>
            </wp:positionV>
            <wp:extent cx="7132320" cy="774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414083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6">
                      <a:extLst>
                        <a:ext uri="{28A0092B-C50C-407E-A947-70E740481C1C}"/>
                      </a:extLst>
                    </a:blip>
                    <a:srcRect/>
                    <a:stretch>
                      <a:fillRect/>
                    </a:stretch>
                  </pic:blipFill>
                  <pic:spPr bwMode="auto">
                    <a:xfrm>
                      <a:off x="0" y="0"/>
                      <a:ext cx="4140835" cy="8255"/>
                    </a:xfrm>
                    <a:prstGeom prst="rect">
                      <a:avLst/>
                    </a:prstGeom>
                    <a:noFill/>
                  </pic:spPr>
                </pic:pic>
              </a:graphicData>
            </a:graphic>
          </wp:anchor>
        </w:drawing>
      </w:r>
    </w:p>
    <w:p>
      <w:pPr>
        <w:spacing w:after="0" w:line="111"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597">
        <w:r>
          <w:rPr>
            <w:rFonts w:ascii="Times New Roman" w:cs="Times New Roman" w:eastAsia="Times New Roman" w:hAnsi="Times New Roman"/>
            <w:sz w:val="18"/>
            <w:szCs w:val="18"/>
            <w:u w:val="single" w:color="auto"/>
            <w:color w:val="0000FF"/>
          </w:rPr>
          <w:t>Form of Change in Control Agreement (incorporated by reference to Exhibit 10.12 of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597">
        <w:r>
          <w:rPr>
            <w:rFonts w:ascii="Times New Roman" w:cs="Times New Roman" w:eastAsia="Times New Roman" w:hAnsi="Times New Roman"/>
            <w:sz w:val="18"/>
            <w:szCs w:val="18"/>
            <w:u w:val="single" w:color="auto"/>
            <w:color w:val="0000FF"/>
          </w:rPr>
          <w:t>fiscal year ended June 30, 2019, filed with the SEC on August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683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8">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081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9">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334137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0">
                      <a:extLst>
                        <a:ext uri="{28A0092B-C50C-407E-A947-70E740481C1C}"/>
                      </a:extLst>
                    </a:blip>
                    <a:srcRect/>
                    <a:stretch>
                      <a:fillRect/>
                    </a:stretch>
                  </pic:blipFill>
                  <pic:spPr bwMode="auto">
                    <a:xfrm>
                      <a:off x="0" y="0"/>
                      <a:ext cx="3341370" cy="8890"/>
                    </a:xfrm>
                    <a:prstGeom prst="rect">
                      <a:avLst/>
                    </a:prstGeom>
                    <a:noFill/>
                  </pic:spPr>
                </pic:pic>
              </a:graphicData>
            </a:graphic>
          </wp:anchor>
        </w:drawing>
      </w:r>
    </w:p>
    <w:p>
      <w:pPr>
        <w:spacing w:after="0" w:line="47" w:lineRule="exact"/>
        <w:rPr>
          <w:sz w:val="20"/>
          <w:szCs w:val="20"/>
          <w:color w:val="auto"/>
        </w:rPr>
      </w:pPr>
    </w:p>
    <w:p>
      <w:pPr>
        <w:jc w:val="both"/>
        <w:ind w:right="20"/>
        <w:spacing w:after="0" w:line="282" w:lineRule="auto"/>
        <w:rPr>
          <w:rFonts w:ascii="Times New Roman" w:cs="Times New Roman" w:eastAsia="Times New Roman" w:hAnsi="Times New Roman"/>
          <w:sz w:val="18"/>
          <w:szCs w:val="18"/>
          <w:u w:val="single" w:color="auto"/>
          <w:color w:val="0000FF"/>
        </w:rPr>
      </w:pPr>
      <w:hyperlink r:id="rId601">
        <w:r>
          <w:rPr>
            <w:rFonts w:ascii="Times New Roman" w:cs="Times New Roman" w:eastAsia="Times New Roman" w:hAnsi="Times New Roman"/>
            <w:sz w:val="18"/>
            <w:szCs w:val="18"/>
            <w:u w:val="single" w:color="auto"/>
            <w:color w:val="0000FF"/>
          </w:rPr>
          <w:t>Form of Indemnification Agreement (incorporated by reference to Exhibit 10.1 to the Company’s Quarterly Report on Form 10-Q for the</w:t>
        </w:r>
      </w:hyperlink>
      <w:r>
        <w:rPr>
          <w:rFonts w:ascii="Times New Roman" w:cs="Times New Roman" w:eastAsia="Times New Roman" w:hAnsi="Times New Roman"/>
          <w:sz w:val="18"/>
          <w:szCs w:val="18"/>
          <w:u w:val="single" w:color="auto"/>
          <w:color w:val="0000FF"/>
        </w:rPr>
        <w:t xml:space="preserve"> </w:t>
      </w:r>
      <w:hyperlink r:id="rId601">
        <w:r>
          <w:rPr>
            <w:rFonts w:ascii="Times New Roman" w:cs="Times New Roman" w:eastAsia="Times New Roman" w:hAnsi="Times New Roman"/>
            <w:sz w:val="18"/>
            <w:szCs w:val="18"/>
            <w:u w:val="single" w:color="auto"/>
            <w:color w:val="0000FF"/>
          </w:rPr>
          <w:t>fiscal quarter ended March 31, 2020, filed with the SEC on May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68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2">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144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03">
                      <a:extLst>
                        <a:ext uri="{28A0092B-C50C-407E-A947-70E740481C1C}"/>
                      </a:extLst>
                    </a:blip>
                    <a:srcRect/>
                    <a:stretch>
                      <a:fillRect/>
                    </a:stretch>
                  </pic:blipFill>
                  <pic:spPr bwMode="auto">
                    <a:xfrm>
                      <a:off x="0" y="0"/>
                      <a:ext cx="6481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3379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4">
                      <a:extLst>
                        <a:ext uri="{28A0092B-C50C-407E-A947-70E740481C1C}"/>
                      </a:extLst>
                    </a:blip>
                    <a:srcRect/>
                    <a:stretch>
                      <a:fillRect/>
                    </a:stretch>
                  </pic:blipFill>
                  <pic:spPr bwMode="auto">
                    <a:xfrm>
                      <a:off x="0" y="0"/>
                      <a:ext cx="3379470" cy="8255"/>
                    </a:xfrm>
                    <a:prstGeom prst="rect">
                      <a:avLst/>
                    </a:prstGeom>
                    <a:noFill/>
                  </pic:spPr>
                </pic:pic>
              </a:graphicData>
            </a:graphic>
          </wp:anchor>
        </w:drawing>
      </w:r>
    </w:p>
    <w:p>
      <w:pPr>
        <w:spacing w:after="0" w:line="47"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605">
        <w:r>
          <w:rPr>
            <w:rFonts w:ascii="Times New Roman" w:cs="Times New Roman" w:eastAsia="Times New Roman" w:hAnsi="Times New Roman"/>
            <w:sz w:val="18"/>
            <w:szCs w:val="18"/>
            <w:u w:val="single" w:color="auto"/>
            <w:color w:val="0000FF"/>
          </w:rPr>
          <w:t>Form of Confidentiality, Non-Interference, and Invention Assignment Agreement (incorporated by reference to Exhibit 10.8 of the</w:t>
        </w:r>
      </w:hyperlink>
      <w:r>
        <w:rPr>
          <w:rFonts w:ascii="Times New Roman" w:cs="Times New Roman" w:eastAsia="Times New Roman" w:hAnsi="Times New Roman"/>
          <w:sz w:val="18"/>
          <w:szCs w:val="18"/>
          <w:u w:val="single" w:color="auto"/>
          <w:color w:val="0000FF"/>
        </w:rPr>
        <w:t xml:space="preserve"> </w:t>
      </w:r>
      <w:hyperlink r:id="rId605">
        <w:r>
          <w:rPr>
            <w:rFonts w:ascii="Times New Roman" w:cs="Times New Roman" w:eastAsia="Times New Roman" w:hAnsi="Times New Roman"/>
            <w:sz w:val="18"/>
            <w:szCs w:val="18"/>
            <w:u w:val="single" w:color="auto"/>
            <w:color w:val="0000FF"/>
          </w:rPr>
          <w:t>Company’s Quarterly Report on Form 10-Q for the fiscal quarter ended March 31, 2019, filed with the SEC on May 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-22225</wp:posOffset>
            </wp:positionV>
            <wp:extent cx="7132320" cy="7747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6">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-185420</wp:posOffset>
            </wp:positionV>
            <wp:extent cx="64833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7">
                      <a:extLst>
                        <a:ext uri="{28A0092B-C50C-407E-A947-70E740481C1C}"/>
                      </a:extLst>
                    </a:blip>
                    <a:srcRect/>
                    <a:stretch>
                      <a:fillRect/>
                    </a:stretch>
                  </pic:blipFill>
                  <pic:spPr bwMode="auto">
                    <a:xfrm>
                      <a:off x="0" y="0"/>
                      <a:ext cx="64833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-48260</wp:posOffset>
            </wp:positionV>
            <wp:extent cx="57531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8">
                      <a:extLst>
                        <a:ext uri="{28A0092B-C50C-407E-A947-70E740481C1C}"/>
                      </a:extLst>
                    </a:blip>
                    <a:srcRect/>
                    <a:stretch>
                      <a:fillRect/>
                    </a:stretch>
                  </pic:blipFill>
                  <pic:spPr bwMode="auto">
                    <a:xfrm>
                      <a:off x="0" y="0"/>
                      <a:ext cx="575310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The Hain Celestial Group, Inc.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68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9">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249364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0">
                      <a:extLst>
                        <a:ext uri="{28A0092B-C50C-407E-A947-70E740481C1C}"/>
                      </a:extLst>
                    </a:blip>
                    <a:srcRect/>
                    <a:stretch>
                      <a:fillRect/>
                    </a:stretch>
                  </pic:blipFill>
                  <pic:spPr bwMode="auto">
                    <a:xfrm>
                      <a:off x="0" y="0"/>
                      <a:ext cx="249364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68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1">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135191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2">
                      <a:extLst>
                        <a:ext uri="{28A0092B-C50C-407E-A947-70E740481C1C}"/>
                      </a:extLst>
                    </a:blip>
                    <a:srcRect/>
                    <a:stretch>
                      <a:fillRect/>
                    </a:stretch>
                  </pic:blipFill>
                  <pic:spPr bwMode="auto">
                    <a:xfrm>
                      <a:off x="0" y="0"/>
                      <a:ext cx="135191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 -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747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3">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379539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4">
                      <a:extLst>
                        <a:ext uri="{28A0092B-C50C-407E-A947-70E740481C1C}"/>
                      </a:extLst>
                    </a:blip>
                    <a:srcRect/>
                    <a:stretch>
                      <a:fillRect/>
                    </a:stretch>
                  </pic:blipFill>
                  <pic:spPr bwMode="auto">
                    <a:xfrm>
                      <a:off x="0" y="0"/>
                      <a:ext cx="3795395"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Executive Officer pursuant to Rule 13a-14(a) and Rule 15d-14(a) of the Securities Exchange Act,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747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606615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6">
                      <a:extLst>
                        <a:ext uri="{28A0092B-C50C-407E-A947-70E740481C1C}"/>
                      </a:extLst>
                    </a:blip>
                    <a:srcRect/>
                    <a:stretch>
                      <a:fillRect/>
                    </a:stretch>
                  </pic:blipFill>
                  <pic:spPr bwMode="auto">
                    <a:xfrm>
                      <a:off x="0" y="0"/>
                      <a:ext cx="606615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Chief Financial Officer pursuant to Rule 13a-14(a) and Rule 15d-14(a) of the Securities Exchange Act,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683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7">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603440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8">
                      <a:extLst>
                        <a:ext uri="{28A0092B-C50C-407E-A947-70E740481C1C}"/>
                      </a:extLst>
                    </a:blip>
                    <a:srcRect/>
                    <a:stretch>
                      <a:fillRect/>
                    </a:stretch>
                  </pic:blipFill>
                  <pic:spPr bwMode="auto">
                    <a:xfrm>
                      <a:off x="0" y="0"/>
                      <a:ext cx="6034405"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CEO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26035</wp:posOffset>
            </wp:positionV>
            <wp:extent cx="7132320" cy="7683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9">
                      <a:extLst>
                        <a:ext uri="{28A0092B-C50C-407E-A947-70E740481C1C}"/>
                      </a:extLst>
                    </a:blip>
                    <a:srcRect/>
                    <a:stretch>
                      <a:fillRect/>
                    </a:stretch>
                  </pic:blipFill>
                  <pic:spPr bwMode="auto">
                    <a:xfrm>
                      <a:off x="0" y="0"/>
                      <a:ext cx="7132320" cy="768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wp:posOffset>
            </wp:positionV>
            <wp:extent cx="593090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0">
                      <a:extLst>
                        <a:ext uri="{28A0092B-C50C-407E-A947-70E740481C1C}"/>
                      </a:extLst>
                    </a:blip>
                    <a:srcRect/>
                    <a:stretch>
                      <a:fillRect/>
                    </a:stretch>
                  </pic:blipFill>
                  <pic:spPr bwMode="auto">
                    <a:xfrm>
                      <a:off x="0" y="0"/>
                      <a:ext cx="593090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by CFO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92455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1">
                      <a:extLst>
                        <a:ext uri="{28A0092B-C50C-407E-A947-70E740481C1C}"/>
                      </a:extLst>
                    </a:blip>
                    <a:srcRect/>
                    <a:stretch>
                      <a:fillRect/>
                    </a:stretch>
                  </pic:blipFill>
                  <pic:spPr bwMode="auto">
                    <a:xfrm>
                      <a:off x="0" y="0"/>
                      <a:ext cx="59245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 w:space="480"/>
            <w:col w:w="10220"/>
          </w:cols>
          <w:pgMar w:left="320" w:top="117" w:right="339" w:bottom="1440" w:gutter="0" w:footer="0" w:header="0"/>
          <w:type w:val="continuous"/>
        </w:sectPr>
      </w:pP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774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3">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w w:val="95"/>
              </w:rPr>
              <w:t>97.1</w:t>
            </w:r>
          </w:p>
        </w:tc>
        <w:tc>
          <w:tcPr>
            <w:tcW w:w="10540" w:type="dxa"/>
            <w:vAlign w:val="bottom"/>
          </w:tcPr>
          <w:p>
            <w:pPr>
              <w:ind w:left="340"/>
              <w:spacing w:after="0"/>
              <w:rPr>
                <w:rFonts w:ascii="Times New Roman" w:cs="Times New Roman" w:eastAsia="Times New Roman" w:hAnsi="Times New Roman"/>
                <w:sz w:val="18"/>
                <w:szCs w:val="18"/>
                <w:u w:val="single" w:color="auto"/>
                <w:color w:val="0000FF"/>
              </w:rPr>
            </w:pPr>
            <w:hyperlink r:id="rId624">
              <w:r>
                <w:rPr>
                  <w:rFonts w:ascii="Times New Roman" w:cs="Times New Roman" w:eastAsia="Times New Roman" w:hAnsi="Times New Roman"/>
                  <w:sz w:val="18"/>
                  <w:szCs w:val="18"/>
                  <w:u w:val="single" w:color="auto"/>
                  <w:color w:val="0000FF"/>
                </w:rPr>
                <w:t>The Hain Celestial Group, Inc. Incentive Compensation Clawback Policy (incorporated by reference to Exhibit 97.1 of the Company’s</w:t>
              </w:r>
            </w:hyperlink>
          </w:p>
        </w:tc>
        <w:tc>
          <w:tcPr>
            <w:tcW w:w="0" w:type="dxa"/>
            <w:vAlign w:val="bottom"/>
          </w:tcPr>
          <w:p>
            <w:pPr>
              <w:spacing w:after="0"/>
              <w:rPr>
                <w:sz w:val="1"/>
                <w:szCs w:val="1"/>
                <w:color w:val="auto"/>
              </w:rPr>
            </w:pPr>
          </w:p>
        </w:tc>
      </w:tr>
      <w:tr>
        <w:trPr>
          <w:trHeight w:val="126"/>
        </w:trPr>
        <w:tc>
          <w:tcPr>
            <w:tcW w:w="680" w:type="dxa"/>
            <w:vAlign w:val="bottom"/>
            <w:vMerge w:val="continue"/>
          </w:tcPr>
          <w:p>
            <w:pPr>
              <w:spacing w:after="0"/>
              <w:rPr>
                <w:sz w:val="10"/>
                <w:szCs w:val="10"/>
                <w:color w:val="auto"/>
              </w:rPr>
            </w:pPr>
          </w:p>
        </w:tc>
        <w:tc>
          <w:tcPr>
            <w:tcW w:w="10540" w:type="dxa"/>
            <w:vAlign w:val="bottom"/>
            <w:vMerge w:val="restart"/>
          </w:tcPr>
          <w:p>
            <w:pPr>
              <w:ind w:left="340"/>
              <w:spacing w:after="0"/>
              <w:rPr>
                <w:rFonts w:ascii="Times New Roman" w:cs="Times New Roman" w:eastAsia="Times New Roman" w:hAnsi="Times New Roman"/>
                <w:sz w:val="18"/>
                <w:szCs w:val="18"/>
                <w:u w:val="single" w:color="auto"/>
                <w:color w:val="0000FF"/>
              </w:rPr>
            </w:pPr>
            <w:hyperlink r:id="rId624">
              <w:r>
                <w:rPr>
                  <w:rFonts w:ascii="Times New Roman" w:cs="Times New Roman" w:eastAsia="Times New Roman" w:hAnsi="Times New Roman"/>
                  <w:sz w:val="18"/>
                  <w:szCs w:val="18"/>
                  <w:u w:val="single" w:color="auto"/>
                  <w:color w:val="0000FF"/>
                </w:rPr>
                <w:t>Annual Report on Form 10-K for the fiscal year ended June 30, 2024 filed with the SEC on August 27, 2024).</w:t>
              </w:r>
            </w:hyperlink>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7747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5">
                      <a:extLst>
                        <a:ext uri="{28A0092B-C50C-407E-A947-70E740481C1C}"/>
                      </a:extLst>
                    </a:blip>
                    <a:srcRect/>
                    <a:stretch>
                      <a:fillRect/>
                    </a:stretch>
                  </pic:blipFill>
                  <pic:spPr bwMode="auto">
                    <a:xfrm>
                      <a:off x="0" y="0"/>
                      <a:ext cx="7132320" cy="7747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-162560</wp:posOffset>
            </wp:positionV>
            <wp:extent cx="648081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6">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-25400</wp:posOffset>
            </wp:positionV>
            <wp:extent cx="50292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7">
                      <a:extLst>
                        <a:ext uri="{28A0092B-C50C-407E-A947-70E740481C1C}"/>
                      </a:extLst>
                    </a:blip>
                    <a:srcRect/>
                    <a:stretch>
                      <a:fillRect/>
                    </a:stretch>
                  </pic:blipFill>
                  <pic:spPr bwMode="auto">
                    <a:xfrm>
                      <a:off x="0" y="0"/>
                      <a:ext cx="5029200" cy="8890"/>
                    </a:xfrm>
                    <a:prstGeom prst="rect">
                      <a:avLst/>
                    </a:prstGeom>
                    <a:noFill/>
                  </pic:spPr>
                </pic:pic>
              </a:graphicData>
            </a:graphic>
          </wp:anchor>
        </w:drawing>
      </w:r>
    </w:p>
    <w:p>
      <w:pPr>
        <w:spacing w:after="0" w:line="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materials from the Company’s Annual Report on Form 10-K for the fiscal year ended June 30, 2025, formatted in inline</w:t>
      </w:r>
    </w:p>
    <w:p>
      <w:pPr>
        <w:spacing w:after="0" w:line="27" w:lineRule="exact"/>
        <w:rPr>
          <w:sz w:val="20"/>
          <w:szCs w:val="20"/>
          <w:color w:val="auto"/>
        </w:rPr>
      </w:pPr>
    </w:p>
    <w:p>
      <w:pPr>
        <w:jc w:val="both"/>
        <w:ind w:left="1020" w:hanging="1012"/>
        <w:spacing w:after="0" w:line="187" w:lineRule="auto"/>
        <w:tabs>
          <w:tab w:leader="none" w:pos="1020" w:val="left"/>
        </w:tabs>
        <w:numPr>
          <w:ilvl w:val="0"/>
          <w:numId w:val="34"/>
        </w:numPr>
        <w:rPr>
          <w:rFonts w:ascii="Times New Roman" w:cs="Times New Roman" w:eastAsia="Times New Roman" w:hAnsi="Times New Roman"/>
          <w:sz w:val="36"/>
          <w:szCs w:val="36"/>
          <w:color w:val="auto"/>
          <w:vertAlign w:val="subscript"/>
        </w:rPr>
      </w:pPr>
      <w:r>
        <w:rPr>
          <w:rFonts w:ascii="Times New Roman" w:cs="Times New Roman" w:eastAsia="Times New Roman" w:hAnsi="Times New Roman"/>
          <w:sz w:val="18"/>
          <w:szCs w:val="18"/>
          <w:color w:val="auto"/>
        </w:rPr>
        <w:t>XBRL (eXtensible Business Reporting Language): (i) the Consolidated Balance Sheets, (ii) the Consolidated Statements of Operations, (iii) the Consolidated Statements of Comprehensive Loss, (iv) the Consolidated Statements of Stockholders’ Equity, (v) the Consolidated Statements of Cash Flows, (vi) Notes to Consolidated Financial Statements, and (vii) Financial Statement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7747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8">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10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774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9">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pacing w:after="0" w:line="138" w:lineRule="exact"/>
        <w:rPr>
          <w:sz w:val="20"/>
          <w:szCs w:val="20"/>
          <w:color w:val="auto"/>
        </w:rPr>
      </w:pPr>
    </w:p>
    <w:p>
      <w:pPr>
        <w:ind w:left="1020" w:hanging="1012"/>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THE HAIN CELESTIAL GROUP,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 w:leader="none" w:pos="7860" w:val="left"/>
        </w:tabs>
        <w:rPr>
          <w:sz w:val="20"/>
          <w:szCs w:val="20"/>
          <w:color w:val="auto"/>
        </w:rPr>
      </w:pPr>
      <w:r>
        <w:rPr>
          <w:rFonts w:ascii="Times New Roman" w:cs="Times New Roman" w:eastAsia="Times New Roman" w:hAnsi="Times New Roman"/>
          <w:sz w:val="18"/>
          <w:szCs w:val="18"/>
          <w:color w:val="auto"/>
        </w:rPr>
        <w:t>Date:</w:t>
        <w:tab/>
        <w:t>September 15, 2025</w:t>
      </w:r>
      <w:r>
        <w:rPr>
          <w:sz w:val="20"/>
          <w:szCs w:val="20"/>
          <w:color w:val="auto"/>
        </w:rPr>
        <w:tab/>
      </w:r>
      <w:r>
        <w:rPr>
          <w:rFonts w:ascii="Times New Roman" w:cs="Times New Roman" w:eastAsia="Times New Roman" w:hAnsi="Times New Roman"/>
          <w:sz w:val="17"/>
          <w:szCs w:val="17"/>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17145</wp:posOffset>
            </wp:positionV>
            <wp:extent cx="35058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107"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b w:val="1"/>
          <w:bCs w:val="1"/>
          <w:color w:val="auto"/>
        </w:rPr>
        <w:t>Lee A. Boyce</w:t>
      </w:r>
    </w:p>
    <w:p>
      <w:pPr>
        <w:spacing w:after="0" w:line="31"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7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Alison E. Lewis</w:t>
      </w:r>
    </w:p>
    <w:p>
      <w:pPr>
        <w:spacing w:after="0" w:line="200" w:lineRule="exact"/>
        <w:rPr>
          <w:sz w:val="20"/>
          <w:szCs w:val="20"/>
          <w:color w:val="auto"/>
        </w:rPr>
      </w:pPr>
    </w:p>
    <w:p>
      <w:pPr>
        <w:spacing w:after="0" w:line="223"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Lee A. Boyce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 Michael J. Ragusa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3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Michael J. Ragusa</w:t>
      </w:r>
    </w:p>
    <w:p>
      <w:pPr>
        <w:spacing w:after="0" w:line="22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Dawn 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Dawn Zier</w:t>
      </w:r>
    </w:p>
    <w:p>
      <w:pPr>
        <w:spacing w:after="0" w:line="24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Neil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Neil Campbell</w:t>
      </w:r>
    </w:p>
    <w:p>
      <w:pPr>
        <w:spacing w:after="0" w:line="24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Celeste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Celeste A. Clark</w:t>
      </w:r>
    </w:p>
    <w:p>
      <w:pPr>
        <w:spacing w:after="0" w:line="22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/s/ Shervin J. Korangy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40030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Shervin J. Korangy</w:t>
      </w:r>
    </w:p>
    <w:p>
      <w:pPr>
        <w:spacing w:after="0" w:line="220"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color w:val="auto"/>
        </w:rPr>
        <w:t>/s/ Michael B. Sims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0">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8"/>
          <w:szCs w:val="18"/>
          <w:b w:val="1"/>
          <w:bCs w:val="1"/>
          <w:color w:val="auto"/>
        </w:rPr>
        <w:t>Michael B. Sims</w:t>
      </w:r>
    </w:p>
    <w:p>
      <w:pPr>
        <w:spacing w:after="0" w:line="22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/s/ Carlyn R.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0030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Carlyn R. Taylor</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2500" w:type="dxa"/>
            <w:vAlign w:val="bottom"/>
            <w:gridSpan w:val="2"/>
          </w:tcPr>
          <w:p>
            <w:pPr>
              <w:jc w:val="center"/>
              <w:ind w:right="2160"/>
              <w:spacing w:after="0"/>
              <w:rPr>
                <w:sz w:val="20"/>
                <w:szCs w:val="20"/>
                <w:color w:val="auto"/>
              </w:rPr>
            </w:pPr>
            <w:r>
              <w:rPr>
                <w:rFonts w:ascii="Times New Roman" w:cs="Times New Roman" w:eastAsia="Times New Roman" w:hAnsi="Times New Roman"/>
                <w:sz w:val="18"/>
                <w:szCs w:val="18"/>
                <w:color w:val="auto"/>
                <w:w w:val="99"/>
              </w:rPr>
              <w:t>Title</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0"/>
        </w:trPr>
        <w:tc>
          <w:tcPr>
            <w:tcW w:w="1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4"/>
        </w:trPr>
        <w:tc>
          <w:tcPr>
            <w:tcW w:w="40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Interim President, Chief Executive Officer and</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30"/>
        </w:trPr>
        <w:tc>
          <w:tcPr>
            <w:tcW w:w="40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34"/>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30"/>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Senior Vice President and</w:t>
            </w: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4"/>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62"/>
        </w:trPr>
        <w:tc>
          <w:tcPr>
            <w:tcW w:w="40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Chair of the Board</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88"/>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88"/>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62"/>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61"/>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r>
        <w:trPr>
          <w:trHeight w:val="662"/>
        </w:trPr>
        <w:tc>
          <w:tcPr>
            <w:tcW w:w="404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Director</w:t>
            </w:r>
          </w:p>
        </w:tc>
        <w:tc>
          <w:tcPr>
            <w:tcW w:w="21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rPr>
              <w:t>September 15, 2025</w:t>
            </w:r>
          </w:p>
        </w:tc>
      </w:tr>
    </w:tbl>
    <w:p>
      <w:pPr>
        <w:spacing w:after="0" w:line="393" w:lineRule="exact"/>
        <w:rPr>
          <w:sz w:val="20"/>
          <w:szCs w:val="20"/>
          <w:color w:val="auto"/>
        </w:rPr>
      </w:pPr>
    </w:p>
    <w:p>
      <w:pPr>
        <w:sectPr>
          <w:pgSz w:w="11900" w:h="16838" w:orient="portrait"/>
          <w:cols w:equalWidth="0" w:num="2">
            <w:col w:w="3780" w:space="720"/>
            <w:col w:w="6740"/>
          </w:cols>
          <w:pgMar w:left="320" w:top="117" w:right="339" w:bottom="1440" w:gutter="0" w:footer="0" w:header="0"/>
          <w:type w:val="continuous"/>
        </w:sect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19685</wp:posOffset>
            </wp:positionV>
            <wp:extent cx="960120" cy="90043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3">
                      <a:extLst>
                        <a:ext uri="{28A0092B-C50C-407E-A947-70E740481C1C}"/>
                      </a:extLst>
                    </a:blip>
                    <a:srcRect/>
                    <a:stretch>
                      <a:fillRect/>
                    </a:stretch>
                  </pic:blipFill>
                  <pic:spPr bwMode="auto">
                    <a:xfrm>
                      <a:off x="0" y="0"/>
                      <a:ext cx="9601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7D7670"/>
        </w:rPr>
        <w:t>The Hain Celestial Group,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7D7670"/>
        </w:rPr>
        <w:t>221 River Street, 12th Floor, Hoboken, NJ 07030 | phone: +1 (516) 587-5000 | www.hain.com</w:t>
      </w:r>
    </w:p>
    <w:p>
      <w:pPr>
        <w:spacing w:after="0" w:line="108"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_____________________________________________________________________________________________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May 8,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Alison E. Lewis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Dear Alison:</w:t>
      </w:r>
    </w:p>
    <w:p>
      <w:pPr>
        <w:spacing w:after="0" w:line="212" w:lineRule="exact"/>
        <w:rPr>
          <w:sz w:val="20"/>
          <w:szCs w:val="20"/>
          <w:color w:val="auto"/>
        </w:rPr>
      </w:pPr>
    </w:p>
    <w:p>
      <w:pPr>
        <w:spacing w:after="0" w:line="281" w:lineRule="auto"/>
        <w:rPr>
          <w:sz w:val="20"/>
          <w:szCs w:val="20"/>
          <w:color w:val="auto"/>
        </w:rPr>
      </w:pPr>
      <w:r>
        <w:rPr>
          <w:rFonts w:ascii="Arial" w:cs="Arial" w:eastAsia="Arial" w:hAnsi="Arial"/>
          <w:sz w:val="18"/>
          <w:szCs w:val="18"/>
          <w:color w:val="auto"/>
        </w:rPr>
        <w:t>We are pleased to offer employment to you as Interim President and Chief Executive Officer of The Hain Celestial Group, Inc. (“</w:t>
      </w:r>
      <w:r>
        <w:rPr>
          <w:rFonts w:ascii="Arial" w:cs="Arial" w:eastAsia="Arial" w:hAnsi="Arial"/>
          <w:sz w:val="18"/>
          <w:szCs w:val="18"/>
          <w:b w:val="1"/>
          <w:bCs w:val="1"/>
          <w:color w:val="auto"/>
        </w:rPr>
        <w:t>Hain</w:t>
      </w:r>
      <w:r>
        <w:rPr>
          <w:rFonts w:ascii="Arial" w:cs="Arial" w:eastAsia="Arial" w:hAnsi="Arial"/>
          <w:sz w:val="18"/>
          <w:szCs w:val="18"/>
          <w:color w:val="auto"/>
        </w:rPr>
        <w:t xml:space="preserve"> </w:t>
      </w:r>
      <w:r>
        <w:rPr>
          <w:rFonts w:ascii="Arial" w:cs="Arial" w:eastAsia="Arial" w:hAnsi="Arial"/>
          <w:sz w:val="18"/>
          <w:szCs w:val="18"/>
          <w:b w:val="1"/>
          <w:bCs w:val="1"/>
          <w:color w:val="auto"/>
        </w:rPr>
        <w:t>Celestial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6" w:lineRule="exact"/>
        <w:rPr>
          <w:sz w:val="20"/>
          <w:szCs w:val="20"/>
          <w:color w:val="auto"/>
        </w:rPr>
      </w:pPr>
    </w:p>
    <w:p>
      <w:pPr>
        <w:jc w:val="both"/>
        <w:ind w:left="480" w:hanging="8"/>
        <w:spacing w:after="0" w:line="264" w:lineRule="auto"/>
        <w:tabs>
          <w:tab w:leader="none" w:pos="103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Term of Employment</w:t>
      </w:r>
      <w:r>
        <w:rPr>
          <w:rFonts w:ascii="Arial" w:cs="Arial" w:eastAsia="Arial" w:hAnsi="Arial"/>
          <w:sz w:val="17"/>
          <w:szCs w:val="17"/>
          <w:color w:val="auto"/>
        </w:rPr>
        <w:t>. As we have discussed, your employment will commence on May 7, 2025 (the “</w:t>
      </w:r>
      <w:r>
        <w:rPr>
          <w:rFonts w:ascii="Arial" w:cs="Arial" w:eastAsia="Arial" w:hAnsi="Arial"/>
          <w:sz w:val="17"/>
          <w:szCs w:val="17"/>
          <w:b w:val="1"/>
          <w:bCs w:val="1"/>
          <w:color w:val="auto"/>
        </w:rPr>
        <w:t>Start Date</w:t>
      </w:r>
      <w:r>
        <w:rPr>
          <w:rFonts w:ascii="Arial" w:cs="Arial" w:eastAsia="Arial" w:hAnsi="Arial"/>
          <w:sz w:val="17"/>
          <w:szCs w:val="17"/>
          <w:color w:val="auto"/>
        </w:rPr>
        <w:t>”) and shall continue until the earliest to occur of: (a) the date on which a permanent President and Chief Executive Officer commences employment with the Company (the “</w:t>
      </w:r>
      <w:r>
        <w:rPr>
          <w:rFonts w:ascii="Arial" w:cs="Arial" w:eastAsia="Arial" w:hAnsi="Arial"/>
          <w:sz w:val="17"/>
          <w:szCs w:val="17"/>
          <w:b w:val="1"/>
          <w:bCs w:val="1"/>
          <w:color w:val="auto"/>
        </w:rPr>
        <w:t>New CEO Commencement Date</w:t>
      </w:r>
      <w:r>
        <w:rPr>
          <w:rFonts w:ascii="Arial" w:cs="Arial" w:eastAsia="Arial" w:hAnsi="Arial"/>
          <w:sz w:val="17"/>
          <w:szCs w:val="17"/>
          <w:color w:val="auto"/>
        </w:rPr>
        <w:t>”), (b) the one-year anniversary of the Start Date, (c) your resignation of employment or (d) the termination of your employment by the Company for any reason (the first to occur of the foregoing, the “</w:t>
      </w:r>
      <w:r>
        <w:rPr>
          <w:rFonts w:ascii="Arial" w:cs="Arial" w:eastAsia="Arial" w:hAnsi="Arial"/>
          <w:sz w:val="17"/>
          <w:szCs w:val="17"/>
          <w:b w:val="1"/>
          <w:bCs w:val="1"/>
          <w:color w:val="auto"/>
        </w:rPr>
        <w:t>Separation Date</w:t>
      </w:r>
      <w:r>
        <w:rPr>
          <w:rFonts w:ascii="Arial" w:cs="Arial" w:eastAsia="Arial" w:hAnsi="Arial"/>
          <w:sz w:val="17"/>
          <w:szCs w:val="17"/>
          <w:color w:val="auto"/>
        </w:rPr>
        <w:t>”). Your employment is terminable by you or the Company at any time (for any reason or for no reason).</w:t>
      </w:r>
    </w:p>
    <w:p>
      <w:pPr>
        <w:spacing w:after="0" w:line="153" w:lineRule="exact"/>
        <w:rPr>
          <w:rFonts w:ascii="Arial" w:cs="Arial" w:eastAsia="Arial" w:hAnsi="Arial"/>
          <w:sz w:val="17"/>
          <w:szCs w:val="17"/>
          <w:color w:val="auto"/>
        </w:rPr>
      </w:pPr>
    </w:p>
    <w:p>
      <w:pPr>
        <w:jc w:val="both"/>
        <w:ind w:left="480" w:hanging="8"/>
        <w:spacing w:after="0" w:line="237" w:lineRule="auto"/>
        <w:tabs>
          <w:tab w:leader="none" w:pos="103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In your capacity as Interim President and Chief Executive Officer, you will report directly to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You will have general supervision over the business of the Company and will perform all duties, and have the authority, incident to the office of Interim President and Chief Executive Officer and such other duties consistent with your position as may from time to time be assigned to you by the Board. Except with the prior written consent of the Board, you will not, while employed by the Company, undertake or engage in any other employment, occupation, or business enterprise that would interfere with your duties and responsibilities, except for reasonable time devoted to (a) volunteer services for or on behalf of such religious, educational, non-profit, and/or other charitable organization as you may wish to serve, and (b) activities in the non-profit and business communities consistent with your duties. Membership on any outside board, with the exception of the board for a non-profit organization, whether new or continuing, will be subject to written approval of the Board. You will remain a member of the Board, and the Company will use its reasonable best efforts to cause you to be nominated for re-election to the Board if your term on the Board would otherwise expire during your employment term. If the Separation Date occurs as a result of your resignation or due to your termination by the Company other than for Cause (as defined below), in each case prior to the New CEO Commencement Date, you will continue to serve as a member of the Board following the Separation Date unless otherwise agreed between you and the Company. In the unlikely event the Separation Date occurs due to your termination by the Company for Cause as determined by the Board, you shall be deemed to have immediately resigned from and you agree to take such action as may be necessary or desirable to effectuate such resignation, including executing a letter of resignation.</w:t>
      </w:r>
    </w:p>
    <w:p>
      <w:pPr>
        <w:spacing w:after="0" w:line="185" w:lineRule="exact"/>
        <w:rPr>
          <w:rFonts w:ascii="Arial" w:cs="Arial" w:eastAsia="Arial" w:hAnsi="Arial"/>
          <w:sz w:val="18"/>
          <w:szCs w:val="18"/>
          <w:color w:val="auto"/>
        </w:rPr>
      </w:pPr>
    </w:p>
    <w:p>
      <w:pPr>
        <w:jc w:val="both"/>
        <w:ind w:left="480" w:hanging="8"/>
        <w:spacing w:after="0" w:line="253" w:lineRule="auto"/>
        <w:tabs>
          <w:tab w:leader="none" w:pos="103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Your monthly base salary will be $100,000 (less required withholdings and elected deductions) and will be paid in accordance with the Company’s payroll practices. As of the Start Date and during the term of your employment, you will no longer receive your current Board compensation for non-employee directors.</w:t>
      </w:r>
    </w:p>
    <w:p>
      <w:pPr>
        <w:spacing w:after="0" w:line="168" w:lineRule="exact"/>
        <w:rPr>
          <w:rFonts w:ascii="Arial" w:cs="Arial" w:eastAsia="Arial" w:hAnsi="Arial"/>
          <w:sz w:val="18"/>
          <w:szCs w:val="18"/>
          <w:color w:val="auto"/>
        </w:rPr>
      </w:pPr>
    </w:p>
    <w:p>
      <w:pPr>
        <w:jc w:val="both"/>
        <w:ind w:left="480" w:hanging="8"/>
        <w:spacing w:after="0" w:line="257" w:lineRule="auto"/>
        <w:tabs>
          <w:tab w:leader="none" w:pos="1034"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Equity Award</w:t>
      </w:r>
      <w:r>
        <w:rPr>
          <w:rFonts w:ascii="Arial" w:cs="Arial" w:eastAsia="Arial" w:hAnsi="Arial"/>
          <w:sz w:val="18"/>
          <w:szCs w:val="18"/>
          <w:color w:val="auto"/>
        </w:rPr>
        <w:t>. Subject to approval by the Compensation Committee of the Board, the Company will grant you an award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with respect to shares of the Company’s common stock, $0.01 par value (such stock, the “</w:t>
      </w:r>
      <w:r>
        <w:rPr>
          <w:rFonts w:ascii="Arial" w:cs="Arial" w:eastAsia="Arial" w:hAnsi="Arial"/>
          <w:sz w:val="18"/>
          <w:szCs w:val="18"/>
          <w:b w:val="1"/>
          <w:bCs w:val="1"/>
          <w:color w:val="auto"/>
        </w:rPr>
        <w:t>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 and such award, the “</w:t>
      </w:r>
      <w:r>
        <w:rPr>
          <w:rFonts w:ascii="Arial" w:cs="Arial" w:eastAsia="Arial" w:hAnsi="Arial"/>
          <w:sz w:val="18"/>
          <w:szCs w:val="18"/>
          <w:b w:val="1"/>
          <w:bCs w:val="1"/>
          <w:color w:val="auto"/>
        </w:rPr>
        <w:t>RSU Award</w:t>
      </w:r>
      <w:r>
        <w:rPr>
          <w:rFonts w:ascii="Arial" w:cs="Arial" w:eastAsia="Arial" w:hAnsi="Arial"/>
          <w:sz w:val="18"/>
          <w:szCs w:val="18"/>
          <w:color w:val="auto"/>
        </w:rPr>
        <w:t>”), under the Company’s 2022 Long Term Incentive and Stock Award Plan. The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07" w:name="page108"/>
    <w:bookmarkEnd w:id="107"/>
    <w:p>
      <w:pPr>
        <w:jc w:val="both"/>
        <w:ind w:left="8" w:firstLine="554"/>
        <w:spacing w:after="0" w:line="250" w:lineRule="auto"/>
        <w:rPr>
          <w:sz w:val="20"/>
          <w:szCs w:val="20"/>
          <w:color w:val="auto"/>
        </w:rPr>
      </w:pPr>
      <w:r>
        <w:rPr>
          <w:rFonts w:ascii="Arial" w:cs="Arial" w:eastAsia="Arial" w:hAnsi="Arial"/>
          <w:sz w:val="18"/>
          <w:szCs w:val="18"/>
          <w:color w:val="auto"/>
        </w:rPr>
        <w:t>shall (a) have a grant date fair value of approximately $ 900,000 (with the number of RSUs granted calculated using the closing price of the Company’s Common Stock on the Nasdaq Stock Market LLC on the Start Date and rounded down to the nearest whole restricted share unit), (b) vest on the one-year anniversary of the Start Date, and (c) be subject to the terms of an award agreement to be entered into by and between you and the Company (the “</w:t>
      </w:r>
      <w:r>
        <w:rPr>
          <w:rFonts w:ascii="Arial" w:cs="Arial" w:eastAsia="Arial" w:hAnsi="Arial"/>
          <w:sz w:val="18"/>
          <w:szCs w:val="18"/>
          <w:b w:val="1"/>
          <w:bCs w:val="1"/>
          <w:color w:val="auto"/>
        </w:rPr>
        <w:t>RSU Award Agreement</w:t>
      </w:r>
      <w:r>
        <w:rPr>
          <w:rFonts w:ascii="Arial" w:cs="Arial" w:eastAsia="Arial" w:hAnsi="Arial"/>
          <w:sz w:val="18"/>
          <w:szCs w:val="18"/>
          <w:color w:val="auto"/>
        </w:rPr>
        <w:t>”).</w:t>
      </w:r>
    </w:p>
    <w:p>
      <w:pPr>
        <w:spacing w:after="0" w:line="164" w:lineRule="exact"/>
        <w:rPr>
          <w:sz w:val="20"/>
          <w:szCs w:val="20"/>
          <w:color w:val="auto"/>
        </w:rPr>
      </w:pPr>
    </w:p>
    <w:p>
      <w:pPr>
        <w:jc w:val="both"/>
        <w:ind w:left="8" w:hanging="8"/>
        <w:spacing w:after="0" w:line="239" w:lineRule="auto"/>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Termination Protection</w:t>
      </w:r>
      <w:r>
        <w:rPr>
          <w:rFonts w:ascii="Arial" w:cs="Arial" w:eastAsia="Arial" w:hAnsi="Arial"/>
          <w:sz w:val="18"/>
          <w:szCs w:val="18"/>
          <w:color w:val="auto"/>
        </w:rPr>
        <w:t>. If (a) Hain Celestial terminates your employment without Cause (as defined below), (b) your employment terminates due to a permanent President and Chief Executive Officer commencing employment, or (c) you terminate your employment for Good Reason (as defined below)following a Change in Control (as defined in the RSU Award Agreement), in addition to any accrued but unpaid base salary due to you in connection with such termination, a pro rata portion of the RSU Award (based on the number of days from the Start Date to the Separation Date) shall accelerate and fully vest as of such Separation Date subject to the execution, within 21 (or 45, if applicable) days following your termination, and non-revocation of a separation agreement and release of claims in a form satisfactory to the Company, including an acknowledgment of the continued effectiveness of your post-employment restrictive covenants and other obligations to the Company, including those set forth in the Confidentiality Agreement (as defined below). For purposes of this letter, the terms “Cause” and “Good Reason” shall have the following meanings:</w:t>
      </w:r>
    </w:p>
    <w:p>
      <w:pPr>
        <w:spacing w:after="0" w:line="183" w:lineRule="exact"/>
        <w:rPr>
          <w:rFonts w:ascii="Arial" w:cs="Arial" w:eastAsia="Arial" w:hAnsi="Arial"/>
          <w:sz w:val="18"/>
          <w:szCs w:val="18"/>
          <w:color w:val="auto"/>
        </w:rPr>
      </w:pPr>
    </w:p>
    <w:p>
      <w:pPr>
        <w:jc w:val="both"/>
        <w:ind w:left="748" w:hanging="374"/>
        <w:spacing w:after="0" w:line="237" w:lineRule="auto"/>
        <w:tabs>
          <w:tab w:leader="none" w:pos="748" w:val="left"/>
        </w:tabs>
        <w:numPr>
          <w:ilvl w:val="1"/>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xml:space="preserve">” means the following grounds for termination of employment: (i) you are convicted of a felony or enter a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with respect thereto; (ii) your continuous failure to substantially perform your reasonably assigned duties for the Company or any subsidiary (other than a failure resulting from your incapacity due to physical or mental illness), which failure has continued for a period of at least thirty (30) days after a written notice of demand for substantial performance, signed by a duly authorized member of the Board, has been delivered to you specifying the manner in which you have failed substantially to perform; (iii) you engage in actual or attempted theft or embezzlement of Company assets; (iv) you engage in conduct that is materially harmful to the public reputation of the Company or any subsidiary, other than conduct required by law or regulation; (v) you engage in any act of dishonesty, fraud, or immoral or disreputable conduct; (vi) you engage in willful misconduct in the performance of your duties, or materially violate any Company policy or code of conduct (including, without limitation, with respect to harassment); (vii) you materially breach any covenant or condition of this letter or any other agreement between the parties including without limitation the Confidentiality Agreement or any other agreement containing provisions relating to confidentiality, assignment of inventions, non-competition, non-solicitation / non-interference, or non-disparagement, or (viii) you breach your fiduciary duty to the Company or any subsidiary.</w:t>
      </w:r>
    </w:p>
    <w:p>
      <w:pPr>
        <w:spacing w:after="0" w:line="190" w:lineRule="exact"/>
        <w:rPr>
          <w:rFonts w:ascii="Times New Roman" w:cs="Times New Roman" w:eastAsia="Times New Roman" w:hAnsi="Times New Roman"/>
          <w:sz w:val="18"/>
          <w:szCs w:val="18"/>
          <w:color w:val="auto"/>
        </w:rPr>
      </w:pPr>
    </w:p>
    <w:p>
      <w:pPr>
        <w:jc w:val="both"/>
        <w:ind w:left="748" w:hanging="374"/>
        <w:spacing w:after="0" w:line="243" w:lineRule="auto"/>
        <w:tabs>
          <w:tab w:leader="none" w:pos="748" w:val="left"/>
        </w:tabs>
        <w:numPr>
          <w:ilvl w:val="1"/>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following a Change in Control, the occurrence (without your prior express written consent) of any one of the following acts by the Company (or the successor in a Change in Control): (i) a material diminution in your position, duties, authority or responsibilities; or (ii) notification that you are required to relocate your residence. You will not have Good Reason for termination unless you notify the Company in writing of the occurrence of the Good Reason condition and terminate your employment within 60 days of such occurrence.</w:t>
      </w:r>
    </w:p>
    <w:p>
      <w:pPr>
        <w:spacing w:after="0" w:line="179" w:lineRule="exact"/>
        <w:rPr>
          <w:rFonts w:ascii="Times New Roman" w:cs="Times New Roman" w:eastAsia="Times New Roman" w:hAnsi="Times New Roman"/>
          <w:sz w:val="18"/>
          <w:szCs w:val="18"/>
          <w:color w:val="auto"/>
        </w:rPr>
      </w:pPr>
    </w:p>
    <w:p>
      <w:pPr>
        <w:jc w:val="both"/>
        <w:ind w:left="8" w:hanging="8"/>
        <w:spacing w:after="0" w:line="253" w:lineRule="auto"/>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of your employment, the Company shall reimburse you for business expenses, including travel, that are reasonable and necessary for you to perform, and were incurred by you in the course of the performance of, your duties pursuant to this letter and in accordance with the Company’s expense reimbursement policies.</w:t>
      </w:r>
    </w:p>
    <w:p>
      <w:pPr>
        <w:spacing w:after="0" w:line="168" w:lineRule="exact"/>
        <w:rPr>
          <w:rFonts w:ascii="Arial" w:cs="Arial" w:eastAsia="Arial" w:hAnsi="Arial"/>
          <w:sz w:val="18"/>
          <w:szCs w:val="18"/>
          <w:color w:val="auto"/>
        </w:rPr>
      </w:pPr>
    </w:p>
    <w:p>
      <w:pPr>
        <w:jc w:val="both"/>
        <w:ind w:left="8" w:hanging="8"/>
        <w:spacing w:after="0" w:line="253" w:lineRule="auto"/>
        <w:tabs>
          <w:tab w:leader="none" w:pos="563"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The Company’s group health insurance benefit plan provides for participation by new employees on the first calendar day of the month following your Start Date. Additionally, as soon as practicable but no later than the first calendar day of the month following completion of 30 days of employment, you will be eligible to participate in the Hain Celestial 401(k) Retirement Plan.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52"/>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386715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792" w:top="1417" w:right="339" w:bottom="1440" w:gutter="0" w:footer="0" w:header="0"/>
        </w:sectPr>
      </w:pPr>
    </w:p>
    <w:bookmarkStart w:id="108" w:name="page109"/>
    <w:bookmarkEnd w:id="108"/>
    <w:p>
      <w:pPr>
        <w:jc w:val="both"/>
        <w:ind w:left="8" w:hanging="8"/>
        <w:spacing w:after="0" w:line="253"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You will be entitled to up to four weeks of annual paid vacation and other personal leave in accordance with Company policy, which shall be subject in all respects to the terms and conditions of the Company’s paid time off policies, as may be in effect from time to time.</w:t>
      </w:r>
    </w:p>
    <w:p>
      <w:pPr>
        <w:spacing w:after="0" w:line="168" w:lineRule="exact"/>
        <w:rPr>
          <w:rFonts w:ascii="Arial" w:cs="Arial" w:eastAsia="Arial" w:hAnsi="Arial"/>
          <w:sz w:val="18"/>
          <w:szCs w:val="18"/>
          <w:color w:val="auto"/>
        </w:rPr>
      </w:pPr>
    </w:p>
    <w:p>
      <w:pPr>
        <w:jc w:val="both"/>
        <w:ind w:left="8" w:hanging="8"/>
        <w:spacing w:after="0" w:line="247"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Simultaneously with the execution of this letter, you will enter into the Confidentiality, Non-Interference, and Invention Assignment Agreement in the form attached hereto as Exhibit A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which will become effective on the Start Date. The Confidentiality Agreement includes the Company’s standard requirements relating to non-competition, non-solicitation, non-disparagement and confidentiality.</w:t>
      </w:r>
    </w:p>
    <w:p>
      <w:pPr>
        <w:spacing w:after="0" w:line="173" w:lineRule="exact"/>
        <w:rPr>
          <w:rFonts w:ascii="Arial" w:cs="Arial" w:eastAsia="Arial" w:hAnsi="Arial"/>
          <w:sz w:val="18"/>
          <w:szCs w:val="18"/>
          <w:color w:val="auto"/>
        </w:rPr>
      </w:pPr>
    </w:p>
    <w:p>
      <w:pPr>
        <w:jc w:val="both"/>
        <w:ind w:left="8" w:hanging="8"/>
        <w:spacing w:after="0" w:line="247"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 Conflicts</w:t>
      </w:r>
      <w:r>
        <w:rPr>
          <w:rFonts w:ascii="Arial" w:cs="Arial" w:eastAsia="Arial" w:hAnsi="Arial"/>
          <w:sz w:val="18"/>
          <w:szCs w:val="18"/>
          <w:color w:val="auto"/>
        </w:rPr>
        <w:t>. You have advised us that you are not a party to or restricted by an agreement with a previous employer that would interfere with or impair in any way your ability to perform the duties of your position with Hain Celestial as described in this letter. It is a condition of your employment with Hain Celestial that you refrain from using or disclosing any proprietary information or trade secrets of any previous employer in the course of your employment with Hain Celestial.</w:t>
      </w:r>
    </w:p>
    <w:p>
      <w:pPr>
        <w:spacing w:after="0" w:line="173" w:lineRule="exact"/>
        <w:rPr>
          <w:rFonts w:ascii="Arial" w:cs="Arial" w:eastAsia="Arial" w:hAnsi="Arial"/>
          <w:sz w:val="18"/>
          <w:szCs w:val="18"/>
          <w:color w:val="auto"/>
        </w:rPr>
      </w:pPr>
    </w:p>
    <w:p>
      <w:pPr>
        <w:jc w:val="both"/>
        <w:ind w:left="8" w:hanging="8"/>
        <w:spacing w:after="0" w:line="247"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This letter does not constitute a guarantee that your employment will continue for any period of time or any specific treatment. Your employment with us is “at-will” and is therefore terminable by either Hain Celestial or you without Cause, notice or liability except as set forth in paragraph 5 above. Your continued employment is subject to, among other things, your satisfactory completion of your job responsibilities and your compliance with Hain Celestial’s policy requirements.</w:t>
      </w:r>
    </w:p>
    <w:p>
      <w:pPr>
        <w:spacing w:after="0" w:line="173" w:lineRule="exact"/>
        <w:rPr>
          <w:rFonts w:ascii="Arial" w:cs="Arial" w:eastAsia="Arial" w:hAnsi="Arial"/>
          <w:sz w:val="18"/>
          <w:szCs w:val="18"/>
          <w:color w:val="auto"/>
        </w:rPr>
      </w:pPr>
    </w:p>
    <w:p>
      <w:pPr>
        <w:jc w:val="both"/>
        <w:ind w:left="8" w:hanging="8"/>
        <w:spacing w:after="0" w:line="237"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This letter and the Company’s obligations hereunder are intended to comply with or otherwise be exempt from Section 409A of the Internal Revenue Code of 1986, as amended, and the regulations and rulings thereunder (collectively,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409A</w:t>
      </w:r>
      <w:r>
        <w:rPr>
          <w:rFonts w:ascii="Arial" w:cs="Arial" w:eastAsia="Arial" w:hAnsi="Arial"/>
          <w:sz w:val="18"/>
          <w:szCs w:val="18"/>
          <w:color w:val="auto"/>
        </w:rPr>
        <w:t>”), to the extent applicable, and shall be so construed. Notwithstanding anything in this letter to the contrary, payments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“nonqualified deferred compensation” subject to Section 409A may only be made under this letter upon an event and in a manner permitted by Section 409A, to the extent applicable. For purposes of Section 409A, all payments of “nonqualified deferred compensation” subject to Section 409A to be made upon the termination of your employment under this letter may only be made upon a “separation from service” under Section 409A. Each payment made under this letter shall be treated as a separate payment and the right to a series of installment payments under this letter is to be treated as a right to a series of separate payments. In no event shall you, directly or indirectly, designate the calendar year of payment with respect to any amount that is “nonqualified deferred compensation” subject to Section 409A. If you are considered a “specified employee” (as defined under Section 409A) and payment of any amounts under this letter is required to be delayed for a period of six months after separation from service pursuant to Section 409A, payment of such amounts shall be delayed as required by Section 409A, and the accumulated postponed amounts shall be paid in a lump-sum payment within five days after the end of the six month period. If you die during the postponement period prior to the payment of benefits, the amounts postponed on account of Section 409A shall be paid to the personal representative of your estate within 60 days after the date of your death.</w:t>
      </w:r>
    </w:p>
    <w:p>
      <w:pPr>
        <w:spacing w:after="0" w:line="187" w:lineRule="exact"/>
        <w:rPr>
          <w:rFonts w:ascii="Arial" w:cs="Arial" w:eastAsia="Arial" w:hAnsi="Arial"/>
          <w:sz w:val="18"/>
          <w:szCs w:val="18"/>
          <w:color w:val="auto"/>
        </w:rPr>
      </w:pPr>
    </w:p>
    <w:p>
      <w:pPr>
        <w:jc w:val="both"/>
        <w:ind w:left="8" w:hanging="8"/>
        <w:spacing w:after="0" w:line="238" w:lineRule="auto"/>
        <w:tabs>
          <w:tab w:leader="none" w:pos="56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To the fullest extent permitted by applicable law, any disputes arising out of or related to this letter shall be settled solely and exclusively by binding arbitration in Walton County, Florida. Such arbitration shall be conducted before a single impartial arbitrator jointly selected by you and the Company and shall be administered by JAMS pursuant to its employment arbitration rules then in effect (the “</w:t>
      </w:r>
      <w:r>
        <w:rPr>
          <w:rFonts w:ascii="Arial" w:cs="Arial" w:eastAsia="Arial" w:hAnsi="Arial"/>
          <w:sz w:val="18"/>
          <w:szCs w:val="18"/>
          <w:b w:val="1"/>
          <w:bCs w:val="1"/>
          <w:color w:val="auto"/>
        </w:rPr>
        <w:t>Rules</w:t>
      </w:r>
      <w:r>
        <w:rPr>
          <w:rFonts w:ascii="Arial" w:cs="Arial" w:eastAsia="Arial" w:hAnsi="Arial"/>
          <w:sz w:val="18"/>
          <w:szCs w:val="18"/>
          <w:color w:val="auto"/>
        </w:rPr>
        <w:t>”). In any arbitration, any and all claims shall be arbitrated only on an individual basis, and not on a class, collective, or multiple-party basis. You and the Company expressly waive any right to arbitrate as a class representative, as a class member, or in a collective action, and there shall be no joinder or consolidation of parties. All such controversies, claims or disputes shall be settled in this manner in lieu of any action at law or equity; provided, however, that nothing in this paragraph 13 shall be construed as (a) precluding the bringing of an action for injunctive relief or other equitable relief in the United States District Court for the Northern District of Florida or any state court located in Walton County, Florida or (b) compelling arbitration of claims that, by applicable law, cannot be compelled to arbitration, in which event such claims shall be brought exclusively in the United States District Court for the Northern District of Florida or any state court located in Walton County, Florida.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52"/>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386715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8"/>
          </w:cols>
          <w:pgMar w:left="792" w:top="1417" w:right="339" w:bottom="1440" w:gutter="0" w:footer="0" w:header="0"/>
        </w:sectPr>
      </w:pPr>
    </w:p>
    <w:bookmarkStart w:id="109" w:name="page110"/>
    <w:bookmarkEnd w:id="109"/>
    <w:p>
      <w:pPr>
        <w:jc w:val="both"/>
        <w:ind w:left="480" w:firstLine="554"/>
        <w:spacing w:after="0" w:line="237" w:lineRule="auto"/>
        <w:rPr>
          <w:sz w:val="20"/>
          <w:szCs w:val="20"/>
          <w:color w:val="auto"/>
        </w:rPr>
      </w:pPr>
      <w:r>
        <w:rPr>
          <w:rFonts w:ascii="Arial" w:cs="Arial" w:eastAsia="Arial" w:hAnsi="Arial"/>
          <w:sz w:val="18"/>
          <w:szCs w:val="18"/>
          <w:color w:val="auto"/>
        </w:rPr>
        <w:t>The arbitrator will be required to administer the arbitration pursuant to the Rules and issue an award, in writing, within thirty (30) days of the arbitration hearing, which award must contain a summary of the issues in controversy, and a description of the award issued. The arbitrator may not modify or change this letter in any way, but may award damages, and/or other relief, only to the extent then permitted under applicable federal, state or local statutes. Any controversy over whether a dispute is an arbitrable dispute or as to the scope, validity, interpretation or enforceability of this paragraph 13 with respect to such arbitration shall be determined by the arbitrator, and not by a court or any other governmental body. The parties agree to abide by all decisions and awards rendered in such proceedings. Such decisions and awards rendered by the arbitrator shall be final and conclusive and may be entered in any court of competent jurisdiction. Unless otherwise prohibited or required by law, any arbitration proceeding (including the nature and substance of all claims, defenses, information, materials, discovery, witness testimony, motions, and post-hearing submissions) shall be strictly confidential and such proceeding shall be identified to JAMS as a confidential proceeding. Each party shall pay the fees of its attorneys, the expenses of its witnesses, and any other costs and expenses that the party incurs in connection with the arbitration; provided that an arbitrator may award attorneys’ fees to the prevailing party, if the arbitrator determines in its sole discretion that such an award is equitable. All other costs of the arbitration, including the fees of the arbitrator and administrative fees, shall be paid by the Company; provided that you shall be responsible for paying any JAMS initiation/filing fee with respect to any claims initiated by you.</w:t>
      </w:r>
    </w:p>
    <w:p>
      <w:pPr>
        <w:spacing w:after="0" w:line="189" w:lineRule="exact"/>
        <w:rPr>
          <w:sz w:val="20"/>
          <w:szCs w:val="20"/>
          <w:color w:val="auto"/>
        </w:rPr>
      </w:pPr>
    </w:p>
    <w:p>
      <w:pPr>
        <w:jc w:val="both"/>
        <w:ind w:left="480" w:hanging="8"/>
        <w:spacing w:after="0"/>
        <w:tabs>
          <w:tab w:leader="none" w:pos="10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Indemnification; D&amp;O Coverage</w:t>
      </w:r>
      <w:r>
        <w:rPr>
          <w:rFonts w:ascii="Arial" w:cs="Arial" w:eastAsia="Arial" w:hAnsi="Arial"/>
          <w:sz w:val="18"/>
          <w:szCs w:val="18"/>
          <w:color w:val="auto"/>
        </w:rPr>
        <w:t>. The Company shall at all times maintain directors’ and officers’ liability insurance under which you shall be covered on a basis that is no less favorable than the coverage provided to any director or officer of the Company, and the Company shall otherwise indemnify you to the fullest extent permitted by applicable law, whether under the Company’s governing documents or otherwise. The Company will pay, as incurred, any reasonable expenses (including fees and disbursements of legal counsel) incurred by you in defending any civil, criminal or administrative proceeding, including any investigation, that may result in an indemnifiable cost or loss, subject to your obligation to repay any such amount if it is subsequently determined that you were not entitled to indemnification pursuant to this paragraph 14, an applicable indemnity agreement, the governing instruments of the Company, an insurance policy, or otherwise.</w:t>
      </w:r>
    </w:p>
    <w:p>
      <w:pPr>
        <w:spacing w:after="0" w:line="180" w:lineRule="exact"/>
        <w:rPr>
          <w:rFonts w:ascii="Arial" w:cs="Arial" w:eastAsia="Arial" w:hAnsi="Arial"/>
          <w:sz w:val="18"/>
          <w:szCs w:val="18"/>
          <w:color w:val="auto"/>
        </w:rPr>
      </w:pPr>
    </w:p>
    <w:p>
      <w:pPr>
        <w:jc w:val="both"/>
        <w:ind w:left="480" w:hanging="8"/>
        <w:spacing w:after="0" w:line="247" w:lineRule="auto"/>
        <w:tabs>
          <w:tab w:leader="none" w:pos="10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This letter supersedes all prior or contemporaneous agreements, understandings, negotiations, or representations, whether oral or written, express or implied, on this subject. This letter may not be modified or amended except by a specific, written arrangement signed by you and the Chair of the Board or an authorized officer of Hain Celestial. The terms of this letter shall be governed by Florida law.</w:t>
      </w:r>
    </w:p>
    <w:p>
      <w:pPr>
        <w:spacing w:after="0" w:line="173" w:lineRule="exact"/>
        <w:rPr>
          <w:rFonts w:ascii="Arial" w:cs="Arial" w:eastAsia="Arial" w:hAnsi="Arial"/>
          <w:sz w:val="18"/>
          <w:szCs w:val="18"/>
          <w:color w:val="auto"/>
        </w:rPr>
      </w:pPr>
    </w:p>
    <w:p>
      <w:pPr>
        <w:ind w:left="480" w:hanging="8"/>
        <w:spacing w:after="0" w:line="271" w:lineRule="auto"/>
        <w:tabs>
          <w:tab w:leader="none" w:pos="103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letter may be executed in several counterparts, each of which shall be deemed to be an original but all of which together will constitute one and the same instrument.</w:t>
      </w:r>
    </w:p>
    <w:p>
      <w:pPr>
        <w:spacing w:after="0" w:line="1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Please acknowledge your acceptance of these terms by your signature below. Afterwards, kindly return the signed letter to me and keep a copy for your records.</w:t>
      </w:r>
    </w:p>
    <w:p>
      <w:pPr>
        <w:spacing w:after="0" w:line="15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THE HAIN CELESTIAL GROUP, INC.</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Dawn M. 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-7620</wp:posOffset>
            </wp:positionV>
            <wp:extent cx="101536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7">
                      <a:extLst>
                        <a:ext uri="{28A0092B-C50C-407E-A947-70E740481C1C}"/>
                      </a:extLst>
                    </a:blip>
                    <a:srcRect/>
                    <a:stretch>
                      <a:fillRect/>
                    </a:stretch>
                  </pic:blipFill>
                  <pic:spPr bwMode="auto">
                    <a:xfrm>
                      <a:off x="0" y="0"/>
                      <a:ext cx="101536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8"/>
          <w:szCs w:val="18"/>
          <w:color w:val="auto"/>
        </w:rPr>
        <w:t>Dawn M. Zier</w:t>
      </w:r>
    </w:p>
    <w:p>
      <w:pPr>
        <w:ind w:left="4500"/>
        <w:spacing w:after="0"/>
        <w:rPr>
          <w:sz w:val="20"/>
          <w:szCs w:val="20"/>
          <w:color w:val="auto"/>
        </w:rPr>
      </w:pPr>
      <w:r>
        <w:rPr>
          <w:rFonts w:ascii="Arial" w:cs="Arial" w:eastAsia="Arial" w:hAnsi="Arial"/>
          <w:sz w:val="18"/>
          <w:szCs w:val="18"/>
          <w:color w:val="auto"/>
        </w:rPr>
        <w:t>Chair of the Board</w:t>
      </w:r>
    </w:p>
    <w:p>
      <w:pPr>
        <w:spacing w:after="0" w:line="38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Accepted:</w:t>
      </w:r>
      <w:r>
        <w:rPr>
          <w:sz w:val="20"/>
          <w:szCs w:val="20"/>
          <w:color w:val="auto"/>
        </w:rPr>
        <w:tab/>
      </w:r>
      <w:r>
        <w:rPr>
          <w:rFonts w:ascii="Arial" w:cs="Arial" w:eastAsia="Arial" w:hAnsi="Arial"/>
          <w:sz w:val="18"/>
          <w:szCs w:val="18"/>
          <w:color w:val="auto"/>
        </w:rPr>
        <w:t>/s/ 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-7620</wp:posOffset>
            </wp:positionV>
            <wp:extent cx="101600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8">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Alison E. Lewis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-7620</wp:posOffset>
            </wp:positionV>
            <wp:extent cx="71056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9">
                      <a:extLst>
                        <a:ext uri="{28A0092B-C50C-407E-A947-70E740481C1C}"/>
                      </a:extLst>
                    </a:blip>
                    <a:srcRect/>
                    <a:stretch>
                      <a:fillRect/>
                    </a:stretch>
                  </pic:blipFill>
                  <pic:spPr bwMode="auto">
                    <a:xfrm>
                      <a:off x="0" y="0"/>
                      <a:ext cx="710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386715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1032510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111" w:name="page112"/>
    <w:bookmarkEnd w:id="111"/>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CONFIDENTIALITY, NON-INTERFERENCE, AND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INVENTION ASSIGNMENT AGREEMENT</w:t>
      </w:r>
    </w:p>
    <w:p>
      <w:pPr>
        <w:spacing w:after="0" w:line="18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This CONFIDENTIALITY, NON-INTERFERENCE, AND INVENTION ASSIGNMENT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and entered into by the individual named on the signature page hereto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for the benefit of The Hain Celestial Group, Inc., a Delaware corporation, and its subsidiaries and affiliates (collectively,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This Agreement will become effective upon the Start Date (as defined in the offer letter between the Company and Employee, dated as of May 8, 2025), and in the event the Start Date does not occur, this Agreement shall be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xml:space="preserve"> and of no force or effect and neither the Company nor Employee shall have any rights or obligations hereunder.</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In consideration of Employee’s commencement of employment with the Company on the Start Date and remuneration received thereunder, and Employee’s receipt of the compensation paid to Employee by the Company, the receipt and sufficiency of which are mutually acknowledged, Employee agrees as follows:</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57"/>
        <w:spacing w:after="0" w:line="234" w:lineRule="auto"/>
        <w:tabs>
          <w:tab w:leader="none" w:pos="101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Company Information</w:t>
      </w:r>
      <w:r>
        <w:rPr>
          <w:rFonts w:ascii="Times New Roman" w:cs="Times New Roman" w:eastAsia="Times New Roman" w:hAnsi="Times New Roman"/>
          <w:sz w:val="22"/>
          <w:szCs w:val="22"/>
          <w:color w:val="auto"/>
        </w:rPr>
        <w:t>. Employee acknowledges that, during the course of Employee’s employment, Employee will have substantial access to, be provided with and inevitably will use confidential and proprietary information of the Company. In recognition of the foregoing, Employee agrees that, at all times during the Employment Period and thereafter, to hold in confidence, and not to use or to disclose to any Person without written authorization of the Company, for any reason or purpose whatsoever except as may be required in the ordinary course of performing Employee’s duties as an employee of the Company, any Confidential Information that Employee obtains or creates. Employee understands that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in spoken, printed, electronic, or any other form or medium, that is not generally known publicly and is owned or maintained by the Company and/or has been acquired, developed, discovered or compiled by the Company at its great effort and expense, and that the Company wishes to maintain as confidential, that has value in or to the business of the Company. Employee understands that:</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33" w:lineRule="auto"/>
        <w:tabs>
          <w:tab w:leader="none" w:pos="2048"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Confidential Information includes, but is not limited to, any and all non-public information that relates to the actual or anticipated business and/or products or services, research, or development of the Company, or to the Company’s technical data, trade secrets, or know-how, including, but not limited to, business records, customer lists or compilations, terms of customer agreements, supplier or service information, pricing or cost information, marketing information, future products and strategies or plans, ideas, business opportunities, inventions, creations, enhancements, business operation information, financial information or personnel data, designs, drawings or inspections of premises, parts, equipment, or other Company property, any formula, recipe, manufacturing process, pattern, device and/or compilation of information that is used in the Company’s business and that gives the Company an advantage over its competitors, or other information regarding the Company’s products or services, markets, customers (including, but not limited to, customers of the Company on whom Employee called or with whom Employee may become acquainted during the Employment Period), software,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processes, formulas, product specifications, technology, designs, drawings, engineering, hardware configuration information, marketing, finances, policies, training manuals and similar materials used by the Company in conducting its business operations, potential business combinations, and other business information disclosed by the Company either directly or indirectly, in writing, electronically or orally, and other confidential or proprietary information created, used and/or obtained by Employee in the course of Employee’s employment with the Company;</w:t>
      </w:r>
    </w:p>
    <w:p>
      <w:pPr>
        <w:spacing w:after="0" w:line="177" w:lineRule="exact"/>
        <w:rPr>
          <w:sz w:val="20"/>
          <w:szCs w:val="20"/>
          <w:color w:val="auto"/>
        </w:rPr>
      </w:pPr>
    </w:p>
    <w:p>
      <w:pPr>
        <w:jc w:val="both"/>
        <w:ind w:left="760" w:firstLine="745"/>
        <w:spacing w:after="0" w:line="261" w:lineRule="auto"/>
        <w:tabs>
          <w:tab w:leader="none" w:pos="2048"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Confidential Information also includes proprietary or confidential information of any third party who may disclose such information to Company or to Employee in the course of the Company’s business subject to a duty on the Company’s part to maintain the confidentiality of such information and to use it only for certain limited purposes;</w:t>
      </w:r>
    </w:p>
    <w:p>
      <w:pPr>
        <w:spacing w:after="0" w:line="157" w:lineRule="exact"/>
        <w:rPr>
          <w:rFonts w:ascii="Times New Roman" w:cs="Times New Roman" w:eastAsia="Times New Roman" w:hAnsi="Times New Roman"/>
          <w:sz w:val="19"/>
          <w:szCs w:val="19"/>
          <w:color w:val="auto"/>
        </w:rPr>
      </w:pPr>
    </w:p>
    <w:p>
      <w:pPr>
        <w:jc w:val="both"/>
        <w:ind w:left="760" w:firstLine="745"/>
        <w:spacing w:after="0" w:line="238" w:lineRule="auto"/>
        <w:tabs>
          <w:tab w:leader="none" w:pos="20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Confidential Information also includes other information of any existing or prospective customer or of any other Person that has entrusted information to the Company in confidence. Employee acknowledges that all Confidential Information is the sole and exclusive property of the Company. Employee further acknowledges that the Company’s communication systems (such as email and voicemail) are maintained to assist in the conduct of the Company’s business and that such systems and data exchanged or stored thereon are Company property; and</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notwithstanding the foregoing, Confidential Information shall not include any of the foregoing items that have become publicly and widely known through no unauthorized disclosure by Employee or others who were under confidentiality obligations as to the item or items involved.</w:t>
      </w:r>
    </w:p>
    <w:p>
      <w:pPr>
        <w:spacing w:after="0" w:line="173" w:lineRule="exact"/>
        <w:rPr>
          <w:rFonts w:ascii="Times New Roman" w:cs="Times New Roman" w:eastAsia="Times New Roman" w:hAnsi="Times New Roman"/>
          <w:sz w:val="20"/>
          <w:szCs w:val="20"/>
          <w:color w:val="auto"/>
        </w:rPr>
      </w:pPr>
    </w:p>
    <w:p>
      <w:pPr>
        <w:jc w:val="both"/>
        <w:ind w:firstLine="757"/>
        <w:spacing w:after="0" w:line="233"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Former Employer Information</w:t>
      </w:r>
      <w:r>
        <w:rPr>
          <w:rFonts w:ascii="Times New Roman" w:cs="Times New Roman" w:eastAsia="Times New Roman" w:hAnsi="Times New Roman"/>
          <w:sz w:val="22"/>
          <w:szCs w:val="22"/>
          <w:color w:val="auto"/>
        </w:rPr>
        <w:t>. Employee represents and warrants that Employee is not a party to any non-competition agreement or other contractual limitation that would interfere with or hinder Employee’s ability to undertake the obligations and expectations of employment with the Company. Employee represents that Employee’s performance of all of the terms of this Agreement as an employee of the Company has not breached and will not breach any agreement to keep in confidence proprietary information, knowledge, or data acquired by Employee in confidence or trust prior to the commencement of Employee’s employment with the Company, and Employee will not disclose to the Company, or induce the Company to use, any developments, or confidential information or material Employee may have obtained in connection with employment with any prior employer in violation of a confidentiality agreement, nondisclosure agreement, or similar agreement with such prior employer. If any prior employer asserts a claim that Employee’s employment with the Company violates any contractual obligations owed by Employee, or that Employee has otherwise committed a breach of any contractual or other duty to a prior employer, the Company may immediately terminate Employee’s employment. In the event of such a claim, the Company is not obligated to indemnify Employee for any damages or to provide a defense against such claims.</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Permitted Disclosure</w:t>
      </w:r>
      <w:r>
        <w:rPr>
          <w:rFonts w:ascii="Times New Roman" w:cs="Times New Roman" w:eastAsia="Times New Roman" w:hAnsi="Times New Roman"/>
          <w:sz w:val="22"/>
          <w:szCs w:val="22"/>
          <w:color w:val="auto"/>
        </w:rPr>
        <w:t>. This Agreement does not limit or interfere with Employee’s right, without notice to or authorization of the Company, to communicate and cooperate in good faith with any self-regulatory organization or federal, state, or local governmental agency,</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3" w:name="page114"/>
    <w:bookmarkEnd w:id="113"/>
    <w:p>
      <w:pPr>
        <w:jc w:val="both"/>
        <w:spacing w:after="0" w:line="233" w:lineRule="auto"/>
        <w:rPr>
          <w:sz w:val="20"/>
          <w:szCs w:val="20"/>
          <w:color w:val="auto"/>
        </w:rPr>
      </w:pPr>
      <w:r>
        <w:rPr>
          <w:rFonts w:ascii="Times New Roman" w:cs="Times New Roman" w:eastAsia="Times New Roman" w:hAnsi="Times New Roman"/>
          <w:sz w:val="22"/>
          <w:szCs w:val="22"/>
          <w:color w:val="auto"/>
        </w:rPr>
        <w:t>commission, or entity (collectively, a “</w:t>
      </w:r>
      <w:r>
        <w:rPr>
          <w:rFonts w:ascii="Times New Roman" w:cs="Times New Roman" w:eastAsia="Times New Roman" w:hAnsi="Times New Roman"/>
          <w:sz w:val="22"/>
          <w:szCs w:val="22"/>
          <w:u w:val="single" w:color="auto"/>
          <w:color w:val="auto"/>
        </w:rPr>
        <w:t>Government Entity</w:t>
      </w:r>
      <w:r>
        <w:rPr>
          <w:rFonts w:ascii="Times New Roman" w:cs="Times New Roman" w:eastAsia="Times New Roman" w:hAnsi="Times New Roman"/>
          <w:sz w:val="22"/>
          <w:szCs w:val="22"/>
          <w:color w:val="auto"/>
        </w:rPr>
        <w:t>”) for the purpose of (i) reporting a possible violation of any federal, state, or local law or regulation, (ii) participating in any investigation or proceeding that may be conducted or managed by any Government Entity, including by providing documents or other information, or (iii) filing a charge or complaint with a Government Entity,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If Employee files a lawsuit for retaliation by an employer for reporting a suspected violation of law, Employee may disclose the trade secret to the Employee’s attorney in such lawsuit and use the trade secret information in the court proceeding, if Employee files any document containing the trade secret under seal and does not disclose the trade secret, except pursuant to court order. All disclosures permitted under this Section 1(c) are hereinafter referred to as “</w:t>
      </w:r>
      <w:r>
        <w:rPr>
          <w:rFonts w:ascii="Times New Roman" w:cs="Times New Roman" w:eastAsia="Times New Roman" w:hAnsi="Times New Roman"/>
          <w:sz w:val="22"/>
          <w:szCs w:val="22"/>
          <w:u w:val="single" w:color="auto"/>
          <w:color w:val="auto"/>
        </w:rPr>
        <w:t>Permitted Disclosures</w:t>
      </w:r>
      <w:r>
        <w:rPr>
          <w:rFonts w:ascii="Times New Roman" w:cs="Times New Roman" w:eastAsia="Times New Roman" w:hAnsi="Times New Roman"/>
          <w:sz w:val="22"/>
          <w:szCs w:val="22"/>
          <w:color w:val="auto"/>
        </w:rPr>
        <w:t>.” Notwithstanding the foregoing, under no circumstance will Employee be authorized to disclose any Confidential Information as to which the Company may assert protections from disclosure under the attorney-client privilege or the attorney work product doctrine, without prior written consent of Company’s Chief Legal Officer or other authorized officer designated by the Company.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1"/>
          <w:szCs w:val="21"/>
          <w:b w:val="1"/>
          <w:bCs w:val="1"/>
          <w:color w:val="auto"/>
        </w:rPr>
        <w:t>Developments</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All inventions, improvements, trade secrets, reports, manuals, computer programs, systems, educational and sales materials or other publications, and other ideas and materials developed or invented by Employee, including all tangible work product derived therefrom, during the Employment Period, either solely or in collaboration with others, which relate to the actual or anticipated business or research of the Company, which result from or are suggested by any work Employee may do for the Company, or which result from use of the Company’s premises or the Company’s or its customers’ property (collectively, the “</w:t>
      </w:r>
      <w:r>
        <w:rPr>
          <w:rFonts w:ascii="Times New Roman" w:cs="Times New Roman" w:eastAsia="Times New Roman" w:hAnsi="Times New Roman"/>
          <w:sz w:val="20"/>
          <w:szCs w:val="20"/>
          <w:u w:val="single" w:color="auto"/>
          <w:color w:val="auto"/>
        </w:rPr>
        <w:t>Developments</w:t>
      </w:r>
      <w:r>
        <w:rPr>
          <w:rFonts w:ascii="Times New Roman" w:cs="Times New Roman" w:eastAsia="Times New Roman" w:hAnsi="Times New Roman"/>
          <w:sz w:val="20"/>
          <w:szCs w:val="20"/>
          <w:color w:val="auto"/>
        </w:rPr>
        <w:t>”) shall be the sole and exclusive property of the Company. Employee hereby assigns to the Company Employee’s entire right and interest in any such Developments. Employee agrees to promptly and fully disclose to the Company all Developments. At the request of the Company, Employee will, during and after the term of this Agreement, without charge to the Company but at the expense of the Company, assist the Company in any reasonable way to vest in the Company title to all such Developments, and to obtain any related patents, trademarks, or copyrights in all countries throughout the world. Employee will execute and deliver assignments and any other documents that the Company may reasonably request in connection with such assistance.</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Section 2 does not apply to an invention for which no equipment, supplies, facility or trade secret information of the Company was used and which was developed entirely on Employee’s own time, and (1) which does not relate (a) directly to the business of the Company or (b) to the Company’s actual or demonstrably anticipated research or development, or (2) which does not result from any work performed by Employee for the Company.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spacing w:after="0" w:line="200" w:lineRule="exact"/>
        <w:rPr>
          <w:sz w:val="20"/>
          <w:szCs w:val="20"/>
          <w:color w:val="auto"/>
        </w:rPr>
      </w:pPr>
    </w:p>
    <w:p>
      <w:pPr>
        <w:spacing w:after="0" w:line="2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1"/>
          <w:szCs w:val="21"/>
          <w:b w:val="1"/>
          <w:bCs w:val="1"/>
          <w:color w:val="auto"/>
        </w:rPr>
        <w:t>Returning Company Documents and Equipment</w:t>
      </w:r>
      <w:r>
        <w:rPr>
          <w:rFonts w:ascii="Times New Roman" w:cs="Times New Roman" w:eastAsia="Times New Roman" w:hAnsi="Times New Roman"/>
          <w:sz w:val="21"/>
          <w:szCs w:val="21"/>
          <w:color w:val="auto"/>
        </w:rPr>
        <w:t>.</w:t>
      </w:r>
    </w:p>
    <w:p>
      <w:pPr>
        <w:spacing w:after="0" w:line="2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At the time of the termination of Employee’s employment with the Company for any reason (or earlier if so requested), Employee will promptly deliver to the Company (and will not keep in Employee’s possession, recreate, copy, or deliver to anyone else) any and all Confidential Information and all other documents, materials, information, computer equipment, electronic equipment, mobile phones, and other property in Employee’s possession or control, created or received by Employee in connection with Employee’s employment or otherwise belonging to the Company (excluding documents related only to Employee’s compensation and employee benefits). Any property situated on the Company’s premises and owned by the Company (or any other member of the Company), including USB flash drives and other storage media, filing cabinets, and other work areas, is subject to inspection by the Company at any time with or without notice. Furthermore, at the time of termination, Employee will return all property of the Company in proper working order without any modification to device or data contained within it, and will provide all passwords or passcodes needed for the Company to access any electronic devices.</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1"/>
          <w:szCs w:val="21"/>
          <w:b w:val="1"/>
          <w:bCs w:val="1"/>
          <w:color w:val="auto"/>
        </w:rPr>
        <w:t>Restrictions on Interfering</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57"/>
        <w:spacing w:after="0" w:line="236" w:lineRule="auto"/>
        <w:tabs>
          <w:tab w:leader="none" w:pos="101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Employment Period and the Post-Termination Restricted Period, Employee shall not, without the express written consent of the Chairperson of the Corporate Governance and Nominating Committee of the Company’s Board of Directors (the “</w:t>
      </w:r>
      <w:r>
        <w:rPr>
          <w:rFonts w:ascii="Times New Roman" w:cs="Times New Roman" w:eastAsia="Times New Roman" w:hAnsi="Times New Roman"/>
          <w:sz w:val="22"/>
          <w:szCs w:val="22"/>
          <w:u w:val="single" w:color="auto"/>
          <w:color w:val="auto"/>
        </w:rPr>
        <w:t>Governance Committee</w:t>
      </w:r>
      <w:r>
        <w:rPr>
          <w:rFonts w:ascii="Times New Roman" w:cs="Times New Roman" w:eastAsia="Times New Roman" w:hAnsi="Times New Roman"/>
          <w:sz w:val="22"/>
          <w:szCs w:val="22"/>
          <w:color w:val="auto"/>
        </w:rPr>
        <w:t>”), directly or indirectly, individually or on behalf of any Person, whether for compensation or otherwise, engage in any Competitive Activities in any jurisdiction in which the Company engages in business and in relation to which Employee has had a material influence or material involvement, or obtained material Confidential Information.</w:t>
      </w:r>
    </w:p>
    <w:p>
      <w:pPr>
        <w:spacing w:after="0" w:line="181"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Non-Interference</w:t>
      </w:r>
      <w:r>
        <w:rPr>
          <w:rFonts w:ascii="Times New Roman" w:cs="Times New Roman" w:eastAsia="Times New Roman" w:hAnsi="Times New Roman"/>
          <w:sz w:val="22"/>
          <w:szCs w:val="22"/>
          <w:color w:val="auto"/>
        </w:rPr>
        <w:t>. During the Employment Period and the Post-Termination Restricted Period, Employee shall not, without the express written consent of the Chairperson of the Governance Committee, directly or indirectly, individually or on behalf of any Person, engage in Interfering Activities.</w:t>
      </w:r>
    </w:p>
    <w:p>
      <w:pPr>
        <w:spacing w:after="0" w:line="173"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At all times during the Employment Period and thereafter, Employee shall not, directly or indirectly, individually or on behalf of any Person, induce or encourage others to make, publish, or communicate to any Person, any disparaging or defamatory comments regarding the Company, its businesses, its products or its services, or any of the Company’s current or former directors, officers, or employees. However, nothing in this Section 4(c) shall prevent Employee from making a Permitted Disclosure as defined in Section 1(c).</w:t>
      </w:r>
    </w:p>
    <w:p>
      <w:pPr>
        <w:spacing w:after="0" w:line="176"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06" w:lineRule="exact"/>
        <w:rPr>
          <w:rFonts w:ascii="Times New Roman" w:cs="Times New Roman" w:eastAsia="Times New Roman" w:hAnsi="Times New Roman"/>
          <w:sz w:val="20"/>
          <w:szCs w:val="20"/>
          <w:color w:val="auto"/>
        </w:rPr>
      </w:pPr>
    </w:p>
    <w:p>
      <w:pPr>
        <w:jc w:val="both"/>
        <w:ind w:left="760" w:firstLine="745"/>
        <w:spacing w:after="0" w:line="239"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Relation</w:t>
      </w:r>
      <w:r>
        <w:rPr>
          <w:rFonts w:ascii="Times New Roman" w:cs="Times New Roman" w:eastAsia="Times New Roman" w:hAnsi="Times New Roman"/>
          <w:sz w:val="22"/>
          <w:szCs w:val="22"/>
          <w:color w:val="auto"/>
        </w:rPr>
        <w:t>” shall mean any current or prospective customer, vendor, supplier or other business relation of the Company, or any such relation that was a customer, vendor, supplier, or other business relation within the prior twelve (12)-month period, in each case, with whom Employee, or persons reporting to Employee, had personal contact or dealings during the Employment Period.</w:t>
      </w:r>
    </w:p>
    <w:p>
      <w:pPr>
        <w:spacing w:after="0" w:line="180" w:lineRule="exact"/>
        <w:rPr>
          <w:rFonts w:ascii="Times New Roman" w:cs="Times New Roman" w:eastAsia="Times New Roman" w:hAnsi="Times New Roman"/>
          <w:sz w:val="20"/>
          <w:szCs w:val="20"/>
          <w:color w:val="auto"/>
        </w:rPr>
      </w:pPr>
    </w:p>
    <w:p>
      <w:pPr>
        <w:ind w:left="760" w:firstLine="745"/>
        <w:spacing w:after="0" w:line="258" w:lineRule="auto"/>
        <w:tabs>
          <w:tab w:leader="none" w:pos="2048"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Competitive Activities</w:t>
      </w:r>
      <w:r>
        <w:rPr>
          <w:rFonts w:ascii="Times New Roman" w:cs="Times New Roman" w:eastAsia="Times New Roman" w:hAnsi="Times New Roman"/>
          <w:sz w:val="22"/>
          <w:szCs w:val="22"/>
          <w:color w:val="auto"/>
        </w:rPr>
        <w:t>” shall mean any activity in which the Employee directly or indirectly, in whole or in part, as an employee, employer, owner, operator,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both"/>
        <w:spacing w:after="0" w:line="233" w:lineRule="auto"/>
        <w:rPr>
          <w:sz w:val="20"/>
          <w:szCs w:val="20"/>
          <w:color w:val="auto"/>
        </w:rPr>
      </w:pPr>
      <w:r>
        <w:rPr>
          <w:rFonts w:ascii="Times New Roman" w:cs="Times New Roman" w:eastAsia="Times New Roman" w:hAnsi="Times New Roman"/>
          <w:sz w:val="22"/>
          <w:szCs w:val="22"/>
          <w:color w:val="auto"/>
        </w:rPr>
        <w:t>manager, advisor, consultant, agent, representative, partner, member, director, stockholder, officer, volunteer, intern, or any other similar position in a capacity similar to the position held by Employee with the Company, on behalf of or in association with a business engaged in the same or similar business as the Company, including, without limitation, any business activity related to the research, development, production, marketing, sale, or distribution of consumer goods or products that are the same as or substantially similar to the consumer goods or products then being, or that at any time in the prior twelve (12) months were being researched, developed, produced, marketed, sold or distributed by the Company, including but not limited to organic and natural products sold through specialty and natural food distributors, supermarkets, natural foods stores, mass-market and e-commerce retailers, food service channels, and club, drug, and convenience stores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Notwithstanding the foregoing, Competitive Activities are limited to such segments of the Company’s Business for which Employee had responsibility or about which Employee learned Confidential Information during the last two (2) years of the Employment Period. Competitive Activities does not include purchasing or owning not in excess of three percent (3%) of the publicly traded securities of any corporation, or purchasing or owning stock, partnership interests, or other securities of any entity not in excess of three percent (3%) of any class of such securities, provided that such ownership represents a passive investment and Employee is not a controlling person of, or a member of a group that controls, such corporation.</w:t>
      </w:r>
    </w:p>
    <w:p>
      <w:pPr>
        <w:spacing w:after="0" w:line="177" w:lineRule="exact"/>
        <w:rPr>
          <w:sz w:val="20"/>
          <w:szCs w:val="20"/>
          <w:color w:val="auto"/>
        </w:rPr>
      </w:pPr>
    </w:p>
    <w:p>
      <w:pPr>
        <w:ind w:left="1280" w:hanging="535"/>
        <w:spacing w:after="0"/>
        <w:tabs>
          <w:tab w:leader="none" w:pos="12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shall mean the period of Employee’s employment with the Company.</w:t>
      </w:r>
    </w:p>
    <w:p>
      <w:pPr>
        <w:spacing w:after="0" w:line="206" w:lineRule="exact"/>
        <w:rPr>
          <w:rFonts w:ascii="Times New Roman" w:cs="Times New Roman" w:eastAsia="Times New Roman" w:hAnsi="Times New Roman"/>
          <w:sz w:val="20"/>
          <w:szCs w:val="20"/>
          <w:color w:val="auto"/>
        </w:rPr>
      </w:pPr>
    </w:p>
    <w:p>
      <w:pPr>
        <w:jc w:val="both"/>
        <w:ind w:firstLine="745"/>
        <w:spacing w:after="0" w:line="232" w:lineRule="auto"/>
        <w:tabs>
          <w:tab w:leader="none" w:pos="1288"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Interfering Activities</w:t>
      </w:r>
      <w:r>
        <w:rPr>
          <w:rFonts w:ascii="Times New Roman" w:cs="Times New Roman" w:eastAsia="Times New Roman" w:hAnsi="Times New Roman"/>
          <w:sz w:val="22"/>
          <w:szCs w:val="22"/>
          <w:color w:val="auto"/>
        </w:rPr>
        <w:t>” shall mean, directly or indirectly, (A) Soliciting, encouraging, enticing, causing, or inducing, or in any manner attempting to Solicit, encourage, entice, cause, or induce, any Person employed by, or providing consulting services or independent contractor services to, the Company and with whom Employee had material contact (meaning an employee whom the Employee supervised, worked closely with, or directly reported to) within the last two (2) years of the Employment Period or about whom Employee had Confidential Information during the Employment Period to terminate such Person’s employment or services (or in the case of a consultant or independent contractor, materially reducing such services) with the Company, or to work for a third party other than the Company, without the prior written consent of the Company; or (B) hiring or engaging any Person who was employed by, or providing consulting or independent contractor services to, the Company within the six (6)-month period prior to the date of such hiring or engagement, and with whom Employee had material contact (meaning an employee whom the Employee supervised, worked closely with, or directly reported to) within the last two (2) years of the Employment Period or about whom Employee had Confidential Information during the Employment Period; or (C) Soliciting, encouraging, calling upon, directing, diverting, influencing, or inducing, or in any manner attempting to Solicit, encourage, call upon, direct, divert, influence, or induce, any Business Relation to cease doing business with or reduce the amount of business conducted with the Company, or in any way interfering with the relationship between any such Business Relation and the Company, including by convincing any such Business Relation to change or alter the terms of its existing or prospective contractual terms and conditions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16" w:name="page117"/>
    <w:bookmarkEnd w:id="116"/>
    <w:p>
      <w:pPr>
        <w:ind w:left="760" w:right="20"/>
        <w:spacing w:after="0" w:line="258" w:lineRule="auto"/>
        <w:rPr>
          <w:sz w:val="20"/>
          <w:szCs w:val="20"/>
          <w:color w:val="auto"/>
        </w:rPr>
      </w:pPr>
      <w:r>
        <w:rPr>
          <w:rFonts w:ascii="Times New Roman" w:cs="Times New Roman" w:eastAsia="Times New Roman" w:hAnsi="Times New Roman"/>
          <w:sz w:val="22"/>
          <w:szCs w:val="22"/>
          <w:color w:val="auto"/>
        </w:rPr>
        <w:t>with the Company; or (D) on behalf of or in association with any Person, accepting business from a Business Relation in competition with the Business of the Company.</w:t>
      </w:r>
    </w:p>
    <w:p>
      <w:pPr>
        <w:spacing w:after="0" w:line="158" w:lineRule="exact"/>
        <w:rPr>
          <w:sz w:val="20"/>
          <w:szCs w:val="20"/>
          <w:color w:val="auto"/>
        </w:rPr>
      </w:pPr>
    </w:p>
    <w:p>
      <w:pPr>
        <w:jc w:val="both"/>
        <w:ind w:left="760" w:firstLine="745"/>
        <w:spacing w:after="0" w:line="244" w:lineRule="auto"/>
        <w:tabs>
          <w:tab w:leader="none" w:pos="20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Post-Termination Restricted Period</w:t>
      </w:r>
      <w:r>
        <w:rPr>
          <w:rFonts w:ascii="Times New Roman" w:cs="Times New Roman" w:eastAsia="Times New Roman" w:hAnsi="Times New Roman"/>
          <w:sz w:val="22"/>
          <w:szCs w:val="22"/>
          <w:color w:val="auto"/>
        </w:rPr>
        <w:t>” shall mean the period commencing on the date of the termination of the Employee’s employment with the Company for any reason, and ending on the date that is one (1) year following such date of termination.</w:t>
      </w:r>
    </w:p>
    <w:p>
      <w:pPr>
        <w:spacing w:after="0" w:line="173"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Solicit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Soliciting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Solicitation</w:t>
      </w:r>
      <w:r>
        <w:rPr>
          <w:rFonts w:ascii="Times New Roman" w:cs="Times New Roman" w:eastAsia="Times New Roman" w:hAnsi="Times New Roman"/>
          <w:sz w:val="22"/>
          <w:szCs w:val="22"/>
          <w:color w:val="auto"/>
        </w:rPr>
        <w:t>” shall mean any direct or indirect communication of any kind, regardless of who initiates it, that in any way invites, advises, encourages, or requests any Person to take or refrain from taking any action.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1"/>
          <w:szCs w:val="21"/>
          <w:b w:val="1"/>
          <w:bCs w:val="1"/>
          <w:color w:val="auto"/>
        </w:rPr>
        <w:t>Reasonableness of Restrictions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Employee acknowledges and recognizes the highly competitive nature of the Company’s business, and agrees that access to Confidential Information renders Employee special and unique within the Company’s industry, and that Employee will have the opportunity to develop substantial relationships of confidence, trust and goodwill with existing and prospective employees, customers, vendors, suppliers, and/or business partners of the Company during the course of and as a result of Employee’s employment with the Company. In light of the foregoing, Employee recognizes and acknowledges that the restrictions and limitations set forth in this Agreement are reasonable and valid in geographic and temporal scope and in all other respects and are essential to protect the value of the Business, goodwill and assets of the Company. Employee further acknowledges that the Company competes worldwide, and that Employee’s access to Confidential Information, including trade secrets, and the relationships Employee builds during Employee’s employment make it necessary for the Company to restrict Employee’s post-employment activities in any market in which the Company competes, and in which Employee’s access to Confidential Information and the relationships Employee builds during Employee’s employment could be used to the detriment of the Company. Employee further acknowledges that the restrictions and limitations set forth in this Agreement will not materially interfere with Employee’s ability to earn a living following the termination of Employee’s employment with the Company.</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1"/>
          <w:szCs w:val="21"/>
          <w:b w:val="1"/>
          <w:bCs w:val="1"/>
          <w:color w:val="auto"/>
        </w:rPr>
        <w:t>Independence; Severability; Blue Pencil</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Each of the rights enumerated in this Agreement shall be independent of the others and shall be in addition to and not in lieu of any other rights and remedies available to the Company at law or in equity. If any of the provisions of this Agreement or any part of any of them is hereafter construed or adjudicated to be invalid or unenforceable in any respect, the same shall not affect the remainder of this Agreement, which shall be given full effect without regard to the invalid portions. If any of the covenants contained herein are held to be invalid or unenforceable because of the duration of such provisions or the area or scope covered thereby, the court making such determination shall have the power to modify the duration, scope, and/or area of such provision to the maximum and/or broadest duration, scope, and/or area permissible by law, and in its reduced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spacing w:after="0" w:line="258" w:lineRule="auto"/>
        <w:rPr>
          <w:sz w:val="20"/>
          <w:szCs w:val="20"/>
          <w:color w:val="auto"/>
        </w:rPr>
      </w:pPr>
      <w:r>
        <w:rPr>
          <w:rFonts w:ascii="Times New Roman" w:cs="Times New Roman" w:eastAsia="Times New Roman" w:hAnsi="Times New Roman"/>
          <w:sz w:val="22"/>
          <w:szCs w:val="22"/>
          <w:color w:val="auto"/>
        </w:rPr>
        <w:t>form said provision shall then be enforceable. Such modification will apply only with respect to the operation of such provision in the particular jurisdiction in which such adjudication is made.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1"/>
          <w:szCs w:val="21"/>
          <w:b w:val="1"/>
          <w:bCs w:val="1"/>
          <w:color w:val="auto"/>
        </w:rPr>
        <w:t>Remedies</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Employee expressly acknowledges that any breach or threatened breach of any of the terms and/or conditions set forth in this Agreement may result in substantial, continuing, and irreparable injury to the Company, monetary relief would not compensate for such breach, and damages arising out of such a breach may be difficult to ascertain. Therefore, Employee agrees that, in addition to any other remedy that may be available to the Company, the Company has the right to seek temporary, preliminary, and/or or permanent injunctive relief, specific performance, or other equitable relief from any court of competent jurisdiction in the event of any breach or threatened breach of the terms of this Agreement, without the necessity of showing any actual damages or that money damages would not afford an adequate remedy, and without the necessity of posting any bond or other security. The Company may pursue any remedy available, including declaratory relief, concurrently or consecutively in any order, and the pursuit of one such remedy at any time will not be deemed an election of remedies or waiver of the right to pursue any other remedy. In addition, in the event of a breach by the Employee of any provision of this Agreement, the Company shall be entitled to the cessation of payment of any unpaid severance benefits and/or to seek repayment of any severance benefits paid to the Employee pursuant to any severance benefit agreement, plan, or program of the Company, as may be legally permissible. Notwithstanding any other provision to the contrary, the Post-Termination Restricted Period shall be tolled during any period of violation of any of the covenants in Section 4 of this Agreement.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w:t>
      </w:r>
    </w:p>
    <w:p>
      <w:pPr>
        <w:spacing w:after="0" w:line="22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Following any termination of Employee’s employment, Employee will continue to provide reasonable cooperation to the Company and its counsel in connection with any investigation, administrative proceeding, or litigation relating to any matter that occurred during the Employment Period in which Employee was involved or of which Employee has knowledge. As a condition of such cooperation, the Company shall reimburse Employee for reasonable out-of-pocket expenses incurred at the request of the Company with respect to Employee’s compliance with this Section 8. In the event Employee is subpoenaed by any person or entity (including, but not limited to, any Government Entity) to give testimony or provide documents (in a deposition, court proceeding, or otherwise), that in any way relates to Employee’s employment by the Company, Employee will give prompt notice of such subpoena to the Company and will make no disclosure until the Company has had a reasonable opportunity to contest the right of the requesting person or entity to such disclosure. Nothing in this Section 8 shall limit Employee’s right to make Permitted Disclosures as provided in Section 1(c).</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Section 9. </w:t>
      </w:r>
      <w:r>
        <w:rPr>
          <w:rFonts w:ascii="Times New Roman" w:cs="Times New Roman" w:eastAsia="Times New Roman" w:hAnsi="Times New Roman"/>
          <w:sz w:val="21"/>
          <w:szCs w:val="21"/>
          <w:b w:val="1"/>
          <w:bCs w:val="1"/>
          <w:color w:val="auto"/>
        </w:rPr>
        <w:t>General Provisions</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firstLine="757"/>
        <w:spacing w:after="0" w:line="241" w:lineRule="auto"/>
        <w:tabs>
          <w:tab w:leader="none" w:pos="101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b w:val="1"/>
          <w:bCs w:val="1"/>
          <w:u w:val="single" w:color="auto"/>
          <w:color w:val="auto"/>
        </w:rPr>
        <w:t>GOVERNING LAW; WAIVER OF JURY TRIAL</w:t>
      </w:r>
      <w:r>
        <w:rPr>
          <w:rFonts w:ascii="Times New Roman" w:cs="Times New Roman" w:eastAsia="Times New Roman" w:hAnsi="Times New Roman"/>
          <w:sz w:val="22"/>
          <w:szCs w:val="22"/>
          <w:b w:val="1"/>
          <w:bCs w:val="1"/>
          <w:color w:val="auto"/>
        </w:rPr>
        <w:t>. THIS AGREEMENT SHALL BE GOVERNED BY, AND CONSTRUED IN ACCORDANCE WITH THE LAWS OF THE STATE OF FLORIDA, WITHOUT GIVING EFFECT TO THE PRINCIPLES OF CONFLICTS OF LAWS, AND TO APPLICABLE FEDERAL LAW. EACH PARTY TO THIS AGREEMENT ALSO HEREBY WAIVES ANY RIGHT TO TRIAL BY JURY IN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CONNECTION WITH ANY SUIT, ACTION, OR PROCEEDING UNDER OR IN CONNECTION WITH THIS AGREEMENT. THE PARTIES AGREE THAT ANY ACTION OR PROCEEDING WITH RESPECT TO THIS AGREEMENT SHALL BE BROUGHT EXCLUSIVELY IN ANY STATE OR FEDERAL COURT OF COMPETENT JURISDICTION IN THE STATE OF FLORIDA,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w:t>
      </w:r>
    </w:p>
    <w:p>
      <w:pPr>
        <w:spacing w:after="0" w:line="182" w:lineRule="exact"/>
        <w:rPr>
          <w:sz w:val="20"/>
          <w:szCs w:val="20"/>
          <w:color w:val="auto"/>
        </w:rPr>
      </w:pPr>
    </w:p>
    <w:p>
      <w:pPr>
        <w:jc w:val="both"/>
        <w:ind w:firstLine="757"/>
        <w:spacing w:after="0" w:line="233"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sets forth the entire agreement and understanding between the Company and Employee relating to the subject matter herein and supersedes all prior and contemporaneous negotiations, discussions, correspondence, communications, understandings, agreements, representations, promises, and any other statements, both written and oral, between the parties relating to the subject matter of this Agreement, except for any agreement between the Company and Employee addressing the use of confidential information or competitive activities post-employment which agreements shall remain in full force and effect. The failure of either the Company or Employee, whether purposeful or otherwise, to exercise in any instance any right, power, or privilege under this Agreement or under law shall not constitute a waiver of the same or any other right, power, or privilege in any other instance. Any waiver or modification by the Company or by Employee must be in writing and signed by either Employee, if Employee is seeking to waive any of Employee’s rights under this Agreement, or by the Chief Legal Officer of the Company, if the Company is seeking to waive any of its rights under this Agreement. Any subsequent change or changes in Employee’s duties, obligations, rights, or compensation will not affect the validity or scope of this Agreement.</w:t>
      </w:r>
    </w:p>
    <w:p>
      <w:pPr>
        <w:spacing w:after="0" w:line="184" w:lineRule="exact"/>
        <w:rPr>
          <w:rFonts w:ascii="Times New Roman" w:cs="Times New Roman" w:eastAsia="Times New Roman" w:hAnsi="Times New Roman"/>
          <w:sz w:val="20"/>
          <w:szCs w:val="20"/>
          <w:color w:val="auto"/>
        </w:rPr>
      </w:pPr>
    </w:p>
    <w:p>
      <w:pPr>
        <w:jc w:val="both"/>
        <w:ind w:firstLine="757"/>
        <w:spacing w:after="0" w:line="235"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will be binding upon Employee’s heirs, executors, administrators, and other legal representatives and will be for the benefit of the Company, its successors, and its assigns. This Agreement may be assigned by the Company without Employee’s consent to any subsidiary or affiliate of the Company as well as to any purchaser of all or substantially all of the assets or business of the Company, whether by purchase, merger, or other similar corporate transaction. Employee’s obligations under this Agreement may not be delegated, and Employee may not assign or otherwise transfer this Agreement or any part hereof. Any purported assignment by Employee shall be null and void from the initial date of purported assignment. This Agreement is for the sole benefit of the Company and the Employee and their respective successors and permitted assigns and not for the benefit of, or enforceable by, any third party.</w:t>
      </w:r>
    </w:p>
    <w:p>
      <w:pPr>
        <w:spacing w:after="0" w:line="178" w:lineRule="exact"/>
        <w:rPr>
          <w:rFonts w:ascii="Times New Roman" w:cs="Times New Roman" w:eastAsia="Times New Roman" w:hAnsi="Times New Roman"/>
          <w:sz w:val="20"/>
          <w:szCs w:val="20"/>
          <w:color w:val="auto"/>
        </w:rPr>
      </w:pPr>
    </w:p>
    <w:p>
      <w:pPr>
        <w:jc w:val="both"/>
        <w:ind w:firstLine="757"/>
        <w:spacing w:after="0" w:line="238" w:lineRule="auto"/>
        <w:tabs>
          <w:tab w:leader="none" w:pos="101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Acknowledgment</w:t>
      </w:r>
      <w:r>
        <w:rPr>
          <w:rFonts w:ascii="Times New Roman" w:cs="Times New Roman" w:eastAsia="Times New Roman" w:hAnsi="Times New Roman"/>
          <w:sz w:val="22"/>
          <w:szCs w:val="22"/>
          <w:color w:val="auto"/>
        </w:rPr>
        <w:t>. Employee acknowledges that Employee has had adequate time to consider the terms of this Agreement, has knowingly and voluntarily entered into this Agreement and has been advised by the Company to seek the advice of independent counsel prior to reaching agreement with the Company on any of the terms of this Agreement. No rule of construction shall apply to this Agreement which construes ambiguous language in favor of or against any party by reason of that party’s role in drafting this Agreement.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9" w:name="page120"/>
    <w:bookmarkEnd w:id="119"/>
    <w:p>
      <w:pPr>
        <w:ind w:left="-20" w:firstLine="757"/>
        <w:spacing w:after="0" w:line="258" w:lineRule="auto"/>
        <w:tabs>
          <w:tab w:leader="none" w:pos="99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Employee’s employment with the Company and/or the assignment of this Agreement by the Company to any successor in interest or other assignee.</w:t>
      </w:r>
    </w:p>
    <w:p>
      <w:pPr>
        <w:spacing w:after="0" w:line="158" w:lineRule="exact"/>
        <w:rPr>
          <w:rFonts w:ascii="Times New Roman" w:cs="Times New Roman" w:eastAsia="Times New Roman" w:hAnsi="Times New Roman"/>
          <w:sz w:val="20"/>
          <w:szCs w:val="20"/>
          <w:color w:val="auto"/>
        </w:rPr>
      </w:pPr>
    </w:p>
    <w:p>
      <w:pPr>
        <w:ind w:left="-20" w:firstLine="757"/>
        <w:spacing w:after="0" w:line="258" w:lineRule="auto"/>
        <w:tabs>
          <w:tab w:leader="none" w:pos="99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Section and subsection headings are inserted for convenience only and shall not limit, expand, or alter the meaning or interpretation of this Agreement.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481330</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color w:val="auto"/>
        </w:rPr>
        <w:t>Employee has executed this Agreement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3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u w:val="single" w:color="auto"/>
          <w:color w:val="auto"/>
        </w:rPr>
        <w:t>/s/ Alison E. Lewis</w:t>
      </w:r>
    </w:p>
    <w:p>
      <w:pPr>
        <w:spacing w:after="0" w:line="1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Alison E. Lewis</w:t>
      </w:r>
    </w:p>
    <w:p>
      <w:pPr>
        <w:spacing w:after="0" w:line="29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color w:val="auto"/>
        </w:rPr>
        <w:t>Print Name: ALISON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-6985</wp:posOffset>
            </wp:positionV>
            <wp:extent cx="121920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1">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spacing w:after="0" w:line="3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May 8,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1408" w:right="1440" w:bottom="1440" w:gutter="0" w:footer="0" w:header="0"/>
        </w:sectPr>
      </w:pPr>
    </w:p>
    <w:bookmarkStart w:id="121" w:name="page122"/>
    <w:bookmarkEnd w:id="121"/>
    <w:p>
      <w:pPr>
        <w:ind w:left="10160"/>
        <w:spacing w:after="0"/>
        <w:rPr>
          <w:sz w:val="20"/>
          <w:szCs w:val="20"/>
          <w:color w:val="auto"/>
        </w:rPr>
      </w:pPr>
      <w:r>
        <w:rPr>
          <w:rFonts w:ascii="Arial" w:cs="Arial" w:eastAsia="Arial" w:hAnsi="Arial"/>
          <w:sz w:val="20"/>
          <w:szCs w:val="20"/>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5080</wp:posOffset>
            </wp:positionV>
            <wp:extent cx="960120" cy="90043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3">
                      <a:extLst>
                        <a:ext uri="{28A0092B-C50C-407E-A947-70E740481C1C}"/>
                      </a:extLst>
                    </a:blip>
                    <a:srcRect/>
                    <a:stretch>
                      <a:fillRect/>
                    </a:stretch>
                  </pic:blipFill>
                  <pic:spPr bwMode="auto">
                    <a:xfrm>
                      <a:off x="0" y="0"/>
                      <a:ext cx="96012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Hain Celestial Group, Inc.</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Waterfront Corporate Center | 221 River Street Hoboken, NJ 07030 | phone: +1 (516) 587-5000 </w:t>
      </w:r>
      <w:r>
        <w:rPr>
          <w:rFonts w:ascii="Arial" w:cs="Arial" w:eastAsia="Arial" w:hAnsi="Arial"/>
          <w:sz w:val="16"/>
          <w:szCs w:val="16"/>
          <w:color w:val="7D7670"/>
        </w:rPr>
        <w:t>|</w:t>
      </w:r>
      <w:r>
        <w:rPr>
          <w:rFonts w:ascii="Arial" w:cs="Arial" w:eastAsia="Arial" w:hAnsi="Arial"/>
          <w:sz w:val="18"/>
          <w:szCs w:val="18"/>
          <w:color w:val="auto"/>
        </w:rPr>
        <w:t xml:space="preserve"> www.hain.com</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______________________________________________________________________________________________________________</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March 15, 2024</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Personal &amp; Confidential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Chad Marquardt</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Dear Chad,</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pleased to offer employment to you as President, North America of The Hain Celestial Group, Inc. (“</w:t>
      </w:r>
      <w:r>
        <w:rPr>
          <w:rFonts w:ascii="Arial" w:cs="Arial" w:eastAsia="Arial" w:hAnsi="Arial"/>
          <w:sz w:val="18"/>
          <w:szCs w:val="18"/>
          <w:b w:val="1"/>
          <w:bCs w:val="1"/>
          <w:color w:val="auto"/>
        </w:rPr>
        <w:t>Hain Celestial</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reporting to the Company’s Chief Executive Officer. As we have discussed, your employment will commence on March 25, 2024 (the “Start Date”).</w:t>
      </w:r>
    </w:p>
    <w:p>
      <w:pPr>
        <w:spacing w:after="0" w:line="155" w:lineRule="exact"/>
        <w:rPr>
          <w:sz w:val="20"/>
          <w:szCs w:val="20"/>
          <w:color w:val="auto"/>
        </w:rPr>
      </w:pPr>
    </w:p>
    <w:p>
      <w:pPr>
        <w:ind w:left="580" w:hanging="378"/>
        <w:spacing w:after="0" w:line="271"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Your annual base salary will be $500,000 (less required withholdings and elected deductions) and will be paid in accordance with the Company’s payroll practices.</w:t>
      </w:r>
    </w:p>
    <w:p>
      <w:pPr>
        <w:spacing w:after="0" w:line="140" w:lineRule="exact"/>
        <w:rPr>
          <w:rFonts w:ascii="Arial" w:cs="Arial" w:eastAsia="Arial" w:hAnsi="Arial"/>
          <w:sz w:val="18"/>
          <w:szCs w:val="18"/>
          <w:color w:val="auto"/>
        </w:rPr>
      </w:pPr>
    </w:p>
    <w:p>
      <w:pPr>
        <w:jc w:val="both"/>
        <w:ind w:left="580" w:hanging="378"/>
        <w:spacing w:after="0" w:line="244"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You will be eligible to earn an annual incentive award (the “</w:t>
      </w:r>
      <w:r>
        <w:rPr>
          <w:rFonts w:ascii="Arial" w:cs="Arial" w:eastAsia="Arial" w:hAnsi="Arial"/>
          <w:sz w:val="18"/>
          <w:szCs w:val="18"/>
          <w:b w:val="1"/>
          <w:bCs w:val="1"/>
          <w:color w:val="auto"/>
        </w:rPr>
        <w:t>Annual Incentive Award</w:t>
      </w:r>
      <w:r>
        <w:rPr>
          <w:rFonts w:ascii="Arial" w:cs="Arial" w:eastAsia="Arial" w:hAnsi="Arial"/>
          <w:sz w:val="18"/>
          <w:szCs w:val="18"/>
          <w:color w:val="auto"/>
        </w:rPr>
        <w:t>”) under the terms and conditions of the Company’s Annual Incentive Plan. Your target Annual Incentive Award for fiscal year 2024 shall be equal to 85% of your annual base salary (“</w:t>
      </w:r>
      <w:r>
        <w:rPr>
          <w:rFonts w:ascii="Arial" w:cs="Arial" w:eastAsia="Arial" w:hAnsi="Arial"/>
          <w:sz w:val="18"/>
          <w:szCs w:val="18"/>
          <w:b w:val="1"/>
          <w:bCs w:val="1"/>
          <w:color w:val="auto"/>
        </w:rPr>
        <w:t>Target AIP Award</w:t>
      </w:r>
      <w:r>
        <w:rPr>
          <w:rFonts w:ascii="Arial" w:cs="Arial" w:eastAsia="Arial" w:hAnsi="Arial"/>
          <w:sz w:val="18"/>
          <w:szCs w:val="18"/>
          <w:color w:val="auto"/>
        </w:rPr>
        <w:t>”), prorated based on your Start Date. The amount payable to you under the Annual Incentive Award will be determined by the Compensation Committee of the Company’s Board of Directors in its discretion under the terms of the Annual Incentive Plan, and you must be actively employed by the Company at the time of payment.</w:t>
      </w:r>
    </w:p>
    <w:p>
      <w:pPr>
        <w:spacing w:after="0" w:line="162" w:lineRule="exact"/>
        <w:rPr>
          <w:rFonts w:ascii="Arial" w:cs="Arial" w:eastAsia="Arial" w:hAnsi="Arial"/>
          <w:sz w:val="18"/>
          <w:szCs w:val="18"/>
          <w:color w:val="auto"/>
        </w:rPr>
      </w:pPr>
    </w:p>
    <w:p>
      <w:pPr>
        <w:jc w:val="both"/>
        <w:ind w:left="580" w:hanging="378"/>
        <w:spacing w:after="0" w:line="237" w:lineRule="auto"/>
        <w:tabs>
          <w:tab w:leader="none" w:pos="5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a member of the Hain Celestial leadership team, you will be eligible to participate in the Company’s Long-Term Incentive Program (“</w:t>
      </w:r>
      <w:r>
        <w:rPr>
          <w:rFonts w:ascii="Arial" w:cs="Arial" w:eastAsia="Arial" w:hAnsi="Arial"/>
          <w:sz w:val="18"/>
          <w:szCs w:val="18"/>
          <w:b w:val="1"/>
          <w:bCs w:val="1"/>
          <w:color w:val="auto"/>
        </w:rPr>
        <w:t>LTIP</w:t>
      </w:r>
      <w:r>
        <w:rPr>
          <w:rFonts w:ascii="Arial" w:cs="Arial" w:eastAsia="Arial" w:hAnsi="Arial"/>
          <w:sz w:val="18"/>
          <w:szCs w:val="18"/>
          <w:color w:val="auto"/>
        </w:rPr>
        <w:t>”), subject to your continued employment and Compensation Committee plan design and approval. For fiscal year 2024, you will be eligible to receive an award under the 2024-2026 LTIP with a Target Value of $600,000, which will be prorated based on the number of days from your Start Date to the end of the Company’s 2024 fiscal year, subject to the terms and conditions of such program. The term “</w:t>
      </w:r>
      <w:r>
        <w:rPr>
          <w:rFonts w:ascii="Arial" w:cs="Arial" w:eastAsia="Arial" w:hAnsi="Arial"/>
          <w:sz w:val="18"/>
          <w:szCs w:val="18"/>
          <w:b w:val="1"/>
          <w:bCs w:val="1"/>
          <w:color w:val="auto"/>
        </w:rPr>
        <w:t>Target Value</w:t>
      </w:r>
      <w:r>
        <w:rPr>
          <w:rFonts w:ascii="Arial" w:cs="Arial" w:eastAsia="Arial" w:hAnsi="Arial"/>
          <w:sz w:val="18"/>
          <w:szCs w:val="18"/>
          <w:color w:val="auto"/>
        </w:rPr>
        <w:t>” refers to the value of the LTIP award calculated based on the average closing price of the Company’s common stock during the 20 trading day period ending on the trading day prior to the Start Date multiplied by the number of shares covered by such award (assuming target level performance in the case of any performance-vesting awards). Your 2024-2026 LTIP Award will be granted on your Start Date and will consist of (i) awards of Performance Share Units (“</w:t>
      </w:r>
      <w:r>
        <w:rPr>
          <w:rFonts w:ascii="Arial" w:cs="Arial" w:eastAsia="Arial" w:hAnsi="Arial"/>
          <w:sz w:val="18"/>
          <w:szCs w:val="18"/>
          <w:b w:val="1"/>
          <w:bCs w:val="1"/>
          <w:color w:val="auto"/>
        </w:rPr>
        <w:t>PSUs</w:t>
      </w:r>
      <w:r>
        <w:rPr>
          <w:rFonts w:ascii="Arial" w:cs="Arial" w:eastAsia="Arial" w:hAnsi="Arial"/>
          <w:sz w:val="18"/>
          <w:szCs w:val="18"/>
          <w:color w:val="auto"/>
        </w:rPr>
        <w:t>”) (50% of the award value), with 2/3 of the PSUs tied to relative total shareholder return and 1/3 of the PSUs tied to absolute total shareholder return, in each case over the three-year period beginning on October 26, 2023 and ending on October 25, 2026 and with the same performance goals and beginning stock price as those applicable to PSUs granted on October 25, 2023 to other senior executives for the 2024-2026 LTIP, and (ii) an award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(50% of the award value). The PSUs will vest, if at all, on October 25, 2026, if the performance criteria are met, while the RSUs will vest in 1/3 installments on each of October 25, 2024, 2025 and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873760</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22" w:name="page123"/>
    <w:bookmarkEnd w:id="122"/>
    <w:p>
      <w:pPr>
        <w:spacing w:after="0" w:line="220" w:lineRule="exact"/>
        <w:rPr>
          <w:sz w:val="20"/>
          <w:szCs w:val="20"/>
          <w:color w:val="auto"/>
        </w:rPr>
      </w:pPr>
    </w:p>
    <w:p>
      <w:pPr>
        <w:jc w:val="both"/>
        <w:ind w:left="360"/>
        <w:spacing w:after="0" w:line="244" w:lineRule="auto"/>
        <w:rPr>
          <w:sz w:val="20"/>
          <w:szCs w:val="20"/>
          <w:color w:val="auto"/>
        </w:rPr>
      </w:pPr>
      <w:r>
        <w:rPr>
          <w:rFonts w:ascii="Arial" w:cs="Arial" w:eastAsia="Arial" w:hAnsi="Arial"/>
          <w:sz w:val="18"/>
          <w:szCs w:val="18"/>
          <w:color w:val="auto"/>
        </w:rPr>
        <w:t>For fiscal year 2025 and subsequent fiscal years, subject to your continued employment and Compensation Committee plan design and approval, you will be eligible to participate in the LTIP. The form of LTIP awards will be determined by the Compensation Committee and will generally be consistent with LTIP awards made in such fiscal years to other senior executives of the Company. Any LTIP Awards are determined and granted in the Compensation Committee’s sole discretion and the terms of this paragraph do not constitute a guarantee of a future year award.</w:t>
      </w:r>
    </w:p>
    <w:p>
      <w:pPr>
        <w:spacing w:after="0" w:line="163" w:lineRule="exact"/>
        <w:rPr>
          <w:sz w:val="20"/>
          <w:szCs w:val="20"/>
          <w:color w:val="auto"/>
        </w:rPr>
      </w:pPr>
    </w:p>
    <w:p>
      <w:pPr>
        <w:jc w:val="both"/>
        <w:ind w:left="380" w:right="20" w:hanging="378"/>
        <w:spacing w:after="0" w:line="244"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also will receive a one-time make-whole award of RSUs with a Target Value of $300,000 (the “</w:t>
      </w:r>
      <w:r>
        <w:rPr>
          <w:rFonts w:ascii="Arial" w:cs="Arial" w:eastAsia="Arial" w:hAnsi="Arial"/>
          <w:sz w:val="18"/>
          <w:szCs w:val="18"/>
          <w:b w:val="1"/>
          <w:bCs w:val="1"/>
          <w:color w:val="auto"/>
        </w:rPr>
        <w:t>Make-Whole RSU Award</w:t>
      </w:r>
      <w:r>
        <w:rPr>
          <w:rFonts w:ascii="Arial" w:cs="Arial" w:eastAsia="Arial" w:hAnsi="Arial"/>
          <w:sz w:val="18"/>
          <w:szCs w:val="18"/>
          <w:color w:val="auto"/>
        </w:rPr>
        <w:t>”). The Make-Whole RSU Award is intended to recognize the compensation you are forfeiting from your former employer upon joining Hain Celestial. The Make-Whole RSU Award shall vest over a three-year period, with one-third vesting each year on the anniversary date of the Start Date, subject to your continued employment. If your employment terminates by reason of death or disability or if Hain Celestial terminates your employment without cause, the unvested portion of the Make-Whole RSUs will immediately vest.</w:t>
      </w:r>
    </w:p>
    <w:p>
      <w:pPr>
        <w:spacing w:after="0" w:line="176" w:lineRule="exact"/>
        <w:rPr>
          <w:rFonts w:ascii="Arial" w:cs="Arial" w:eastAsia="Arial" w:hAnsi="Arial"/>
          <w:sz w:val="18"/>
          <w:szCs w:val="18"/>
          <w:color w:val="auto"/>
        </w:rPr>
      </w:pPr>
    </w:p>
    <w:p>
      <w:pPr>
        <w:jc w:val="both"/>
        <w:ind w:left="380" w:hanging="378"/>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Hain Celestial terminates your employment without cause, as determined by the Compensation Committee in good faith, you will be entitled to receive a severance payment of one (1) times your annual base salary in effect at the time of termination and one (1) times your Target AIP Award for the year in which the termination date occurs, payable (less applicable withholdings) in bi-weekly payments, in accordance with the Company’s payroll practices, following the termination of your employment. Your entitlement to the severance payment will be subject to the execution of a separation agreement and release of claims in a form satisfactory to the Company, including an acknowledgment of the continued effectiveness of your post-employment restrictive covenants and other obligations to the Company.</w:t>
      </w:r>
    </w:p>
    <w:p>
      <w:pPr>
        <w:spacing w:after="0" w:line="184" w:lineRule="exact"/>
        <w:rPr>
          <w:rFonts w:ascii="Arial" w:cs="Arial" w:eastAsia="Arial" w:hAnsi="Arial"/>
          <w:sz w:val="18"/>
          <w:szCs w:val="18"/>
          <w:color w:val="auto"/>
        </w:rPr>
      </w:pPr>
    </w:p>
    <w:p>
      <w:pPr>
        <w:jc w:val="both"/>
        <w:ind w:left="380" w:hanging="378"/>
        <w:spacing w:after="0" w:line="247"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participate in the Company’s “Change in Control Agreement,” in accordance with and subject to the terms and conditions of such agreement. The Change in Control Agreement will generally provide a severance benefit equal to (2) times the sum of your annual base salary and Target AIP Award if your employment is terminated under certain circumstances in connection with a Change in Control (as defined in the agreement).</w:t>
      </w:r>
    </w:p>
    <w:p>
      <w:pPr>
        <w:spacing w:after="0" w:line="173" w:lineRule="exact"/>
        <w:rPr>
          <w:rFonts w:ascii="Arial" w:cs="Arial" w:eastAsia="Arial" w:hAnsi="Arial"/>
          <w:sz w:val="18"/>
          <w:szCs w:val="18"/>
          <w:color w:val="auto"/>
        </w:rPr>
      </w:pPr>
    </w:p>
    <w:p>
      <w:pPr>
        <w:jc w:val="both"/>
        <w:ind w:left="380" w:hanging="378"/>
        <w:spacing w:after="0" w:line="253"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group health insurance benefit plan provides for participation by new employees on the first calendar day of the month following completion of 30 days of employment. Additionally, as soon as practicable but no later than the first calendar day of the month following completion of 30 days of employment, you will be eligible to participate in the Hain Celestial 401(k) Retirement Plan.</w:t>
      </w:r>
    </w:p>
    <w:p>
      <w:pPr>
        <w:spacing w:after="0" w:line="168" w:lineRule="exact"/>
        <w:rPr>
          <w:rFonts w:ascii="Arial" w:cs="Arial" w:eastAsia="Arial" w:hAnsi="Arial"/>
          <w:sz w:val="18"/>
          <w:szCs w:val="18"/>
          <w:color w:val="auto"/>
        </w:rPr>
      </w:pPr>
    </w:p>
    <w:p>
      <w:pPr>
        <w:jc w:val="both"/>
        <w:ind w:left="380" w:right="20" w:hanging="378"/>
        <w:spacing w:after="0" w:line="253"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will be entitled to up to four (4) weeks of annual paid vacation and other personal leave in accordance with Company policy, which shall be subject in all respects to the terms and conditions of the Company’s paid time off policies, as may be in effect from time to time.</w:t>
      </w:r>
    </w:p>
    <w:p>
      <w:pPr>
        <w:spacing w:after="0" w:line="155" w:lineRule="exact"/>
        <w:rPr>
          <w:rFonts w:ascii="Arial" w:cs="Arial" w:eastAsia="Arial" w:hAnsi="Arial"/>
          <w:sz w:val="18"/>
          <w:szCs w:val="18"/>
          <w:color w:val="auto"/>
        </w:rPr>
      </w:pPr>
    </w:p>
    <w:p>
      <w:pPr>
        <w:ind w:left="380" w:right="20" w:hanging="378"/>
        <w:spacing w:after="0" w:line="271" w:lineRule="auto"/>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offer is contingent upon your completion of a pre-hire screening, which will require that you execute documents required by Hain Celestial for a background investigation concerning your criminal, employment, education, and credit history.</w:t>
      </w:r>
    </w:p>
    <w:p>
      <w:pPr>
        <w:spacing w:after="0" w:line="153" w:lineRule="exact"/>
        <w:rPr>
          <w:rFonts w:ascii="Arial" w:cs="Arial" w:eastAsia="Arial" w:hAnsi="Arial"/>
          <w:sz w:val="18"/>
          <w:szCs w:val="18"/>
          <w:color w:val="auto"/>
        </w:rPr>
      </w:pPr>
    </w:p>
    <w:p>
      <w:pPr>
        <w:jc w:val="both"/>
        <w:ind w:left="380" w:hanging="378"/>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You have advised us that you are not a party to or restricted by an agreement with a previous employer that would interfere with or impair in any way your ability to perform the duties of your position with Hain Celestial as described in this letter. It is a condition of your employment with Hain Celestial that you refrain from using or disclosing any proprietary information or trade secrets of any previous employer in the course of your employment with Hain Celestial. If any previous employer asserts a claim that your employment with Hain Celestial violates any contractual obligations owed by you, or that you have otherwise committed a breach of any contractual or other duty to a previous employer, Hain Celestial may immediately terminate your employment, and such termination will be treated as a termination for cause. In the event of such a claim, Hain Celestial is not obligated to indemnify you for any damages or to provide a defense against such claims.</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609600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40" w:right="339" w:bottom="1440" w:gutter="0" w:footer="0" w:header="0"/>
        </w:sectPr>
      </w:pPr>
    </w:p>
    <w:bookmarkStart w:id="123" w:name="page124"/>
    <w:bookmarkEnd w:id="123"/>
    <w:p>
      <w:pPr>
        <w:spacing w:after="0" w:line="180" w:lineRule="exact"/>
        <w:rPr>
          <w:sz w:val="20"/>
          <w:szCs w:val="20"/>
          <w:color w:val="auto"/>
        </w:rPr>
      </w:pPr>
    </w:p>
    <w:p>
      <w:pPr>
        <w:jc w:val="both"/>
        <w:ind w:left="580" w:hanging="378"/>
        <w:spacing w:after="0" w:line="24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letter does not constitute a contract of employment or a guarantee that your employment will continue for any period of time or any specific treatment. Your employment with us is “at-will” and is therefore terminable by either Hain Celestial or you without cause, notice or liability except as set forth in paragraphs 5 and 6 above. Your continued employment is subject to, among other things, your satisfactory completion of your job responsibilities and your compliance with Hain Celestial’s policy requirements.</w:t>
      </w:r>
    </w:p>
    <w:p>
      <w:pPr>
        <w:spacing w:after="0" w:line="160" w:lineRule="exact"/>
        <w:rPr>
          <w:rFonts w:ascii="Arial" w:cs="Arial" w:eastAsia="Arial" w:hAnsi="Arial"/>
          <w:sz w:val="18"/>
          <w:szCs w:val="18"/>
          <w:color w:val="auto"/>
        </w:rPr>
      </w:pPr>
    </w:p>
    <w:p>
      <w:pPr>
        <w:ind w:left="580" w:hanging="378"/>
        <w:spacing w:after="0" w:line="271"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letter and the Company’s obligations hereunder are intended to comply with or otherwise be exempt from Section 409A of the Internal Revenue Code and its corresponding regulations, to the extent applicable, and shall be so construed.</w:t>
      </w:r>
    </w:p>
    <w:p>
      <w:pPr>
        <w:spacing w:after="0" w:line="153" w:lineRule="exact"/>
        <w:rPr>
          <w:rFonts w:ascii="Arial" w:cs="Arial" w:eastAsia="Arial" w:hAnsi="Arial"/>
          <w:sz w:val="18"/>
          <w:szCs w:val="18"/>
          <w:color w:val="auto"/>
        </w:rPr>
      </w:pPr>
    </w:p>
    <w:p>
      <w:pPr>
        <w:jc w:val="both"/>
        <w:ind w:left="580" w:hanging="378"/>
        <w:spacing w:after="0" w:line="247"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letter supersedes all prior or contemporaneous agreements, understandings, negotiations, or representations, whether oral or written, express or implied, on this subject. This letter may not be modified or amended except by a specific, written arrangement signed by you and Hain Celestial's Chief Executive Officer or Chief Human Resources Officer. The terms of this letter shall be governed by New Jersey law.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Please acknowledge your acceptance of these terms by your signature below. Afterwards, kindly return the signed letter to 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Amber Jefferson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Amber Jefferson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People Officer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Accepted:</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Marquardt</w:t>
            </w:r>
          </w:p>
        </w:tc>
      </w:tr>
      <w:tr>
        <w:trPr>
          <w:trHeight w:val="232"/>
        </w:trPr>
        <w:tc>
          <w:tcPr>
            <w:tcW w:w="3700" w:type="dxa"/>
            <w:vAlign w:val="bottom"/>
            <w:gridSpan w:val="2"/>
          </w:tcPr>
          <w:p>
            <w:pPr>
              <w:ind w:left="260"/>
              <w:spacing w:after="0"/>
              <w:rPr>
                <w:sz w:val="20"/>
                <w:szCs w:val="20"/>
                <w:color w:val="auto"/>
              </w:rPr>
            </w:pPr>
            <w:r>
              <w:rPr>
                <w:rFonts w:ascii="Arial" w:cs="Arial" w:eastAsia="Arial" w:hAnsi="Arial"/>
                <w:sz w:val="18"/>
                <w:szCs w:val="18"/>
                <w:color w:val="auto"/>
              </w:rPr>
              <w:t>Chad Marquardt</w:t>
            </w:r>
          </w:p>
        </w:tc>
      </w:tr>
      <w:tr>
        <w:trPr>
          <w:trHeight w:val="558"/>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3/16/24</w:t>
            </w:r>
          </w:p>
        </w:tc>
      </w:tr>
    </w:tbl>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10.9</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SEPARATION AGREEMENT AND GENERAL RELEASE</w:t>
      </w:r>
    </w:p>
    <w:p>
      <w:pPr>
        <w:spacing w:after="0" w:line="213" w:lineRule="exact"/>
        <w:rPr>
          <w:sz w:val="20"/>
          <w:szCs w:val="20"/>
          <w:color w:val="auto"/>
        </w:rPr>
      </w:pPr>
    </w:p>
    <w:p>
      <w:pPr>
        <w:ind w:firstLine="749"/>
        <w:spacing w:after="0" w:line="217" w:lineRule="auto"/>
        <w:rPr>
          <w:sz w:val="20"/>
          <w:szCs w:val="20"/>
          <w:color w:val="auto"/>
        </w:rPr>
      </w:pPr>
      <w:r>
        <w:rPr>
          <w:rFonts w:ascii="Arial" w:cs="Arial" w:eastAsia="Arial" w:hAnsi="Arial"/>
          <w:sz w:val="20"/>
          <w:szCs w:val="20"/>
          <w:color w:val="auto"/>
        </w:rPr>
        <w:t>This Separation Agreement and General Release (this “Agreement”) is made and entered into this 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August, 2025 by and between The Hain Celestial Group, Inc. (“Hain” or the “Company”) and Chad Marquardt (“Employee”).</w:t>
      </w:r>
    </w:p>
    <w:p>
      <w:pPr>
        <w:spacing w:after="0" w:line="172" w:lineRule="exact"/>
        <w:rPr>
          <w:sz w:val="20"/>
          <w:szCs w:val="20"/>
          <w:color w:val="auto"/>
        </w:rPr>
      </w:pPr>
    </w:p>
    <w:p>
      <w:pPr>
        <w:ind w:left="760" w:right="980"/>
        <w:spacing w:after="0" w:line="450" w:lineRule="auto"/>
        <w:rPr>
          <w:sz w:val="20"/>
          <w:szCs w:val="20"/>
          <w:color w:val="auto"/>
        </w:rPr>
      </w:pPr>
      <w:r>
        <w:rPr>
          <w:rFonts w:ascii="Arial" w:cs="Arial" w:eastAsia="Arial" w:hAnsi="Arial"/>
          <w:sz w:val="20"/>
          <w:szCs w:val="20"/>
          <w:color w:val="auto"/>
        </w:rPr>
        <w:t>WHEREAS, Hain and Employee are parties to an Offer Letter, dated March 15, 2024 (the “Offer Letter”); and WHEREAS, Hain and Employee wish to amicably terminate Employee’s employment with Hain.</w:t>
      </w:r>
    </w:p>
    <w:p>
      <w:pPr>
        <w:spacing w:after="0" w:line="2" w:lineRule="exact"/>
        <w:rPr>
          <w:sz w:val="20"/>
          <w:szCs w:val="20"/>
          <w:color w:val="auto"/>
        </w:rPr>
      </w:pPr>
    </w:p>
    <w:p>
      <w:pPr>
        <w:ind w:firstLine="749"/>
        <w:spacing w:after="0" w:line="257" w:lineRule="auto"/>
        <w:rPr>
          <w:sz w:val="20"/>
          <w:szCs w:val="20"/>
          <w:color w:val="auto"/>
        </w:rPr>
      </w:pPr>
      <w:r>
        <w:rPr>
          <w:rFonts w:ascii="Arial" w:cs="Arial" w:eastAsia="Arial" w:hAnsi="Arial"/>
          <w:sz w:val="20"/>
          <w:szCs w:val="20"/>
          <w:color w:val="auto"/>
        </w:rPr>
        <w:t>NOW, THEREFORE, in consideration of the mutual promises and covenants set forth herein, Hain and Employee agree as follows:</w:t>
      </w:r>
    </w:p>
    <w:p>
      <w:pPr>
        <w:spacing w:after="0" w:line="155" w:lineRule="exact"/>
        <w:rPr>
          <w:sz w:val="20"/>
          <w:szCs w:val="20"/>
          <w:color w:val="auto"/>
        </w:rPr>
      </w:pPr>
    </w:p>
    <w:p>
      <w:pPr>
        <w:ind w:left="760" w:hanging="752"/>
        <w:spacing w:after="0"/>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p>
    <w:p>
      <w:pPr>
        <w:spacing w:after="0" w:line="202"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Employee’s last day of employment with Hain is August 1, 2025 (the “Termination Date”).</w:t>
      </w:r>
    </w:p>
    <w:p>
      <w:pPr>
        <w:spacing w:after="0" w:line="202" w:lineRule="exact"/>
        <w:rPr>
          <w:rFonts w:ascii="Arial" w:cs="Arial" w:eastAsia="Arial" w:hAnsi="Arial"/>
          <w:sz w:val="20"/>
          <w:szCs w:val="20"/>
          <w:color w:val="auto"/>
        </w:rPr>
      </w:pPr>
    </w:p>
    <w:p>
      <w:pPr>
        <w:ind w:left="760" w:hanging="752"/>
        <w:spacing w:after="0"/>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Severance Payments by Hain</w:t>
      </w:r>
    </w:p>
    <w:p>
      <w:pPr>
        <w:spacing w:after="0" w:line="202" w:lineRule="exact"/>
        <w:rPr>
          <w:rFonts w:ascii="Arial" w:cs="Arial" w:eastAsia="Arial" w:hAnsi="Arial"/>
          <w:sz w:val="20"/>
          <w:szCs w:val="20"/>
          <w:color w:val="auto"/>
        </w:rPr>
      </w:pPr>
    </w:p>
    <w:p>
      <w:pPr>
        <w:jc w:val="both"/>
        <w:ind w:left="760"/>
        <w:spacing w:after="0" w:line="233" w:lineRule="auto"/>
        <w:rPr>
          <w:rFonts w:ascii="Arial" w:cs="Arial" w:eastAsia="Arial" w:hAnsi="Arial"/>
          <w:sz w:val="20"/>
          <w:szCs w:val="20"/>
          <w:color w:val="auto"/>
        </w:rPr>
      </w:pPr>
      <w:r>
        <w:rPr>
          <w:rFonts w:ascii="Arial" w:cs="Arial" w:eastAsia="Arial" w:hAnsi="Arial"/>
          <w:sz w:val="20"/>
          <w:szCs w:val="20"/>
          <w:color w:val="auto"/>
        </w:rPr>
        <w:t>As consideration for signing this Agreement and Employee’s complete compliance therewith, Hain shall provide Employee with cash severance in the aggregate amount of $875,500 (equal to Employee’s annual base salary and target annual bonus as of the Termination Date), less applicable withholdings and deductions, payable over a period of 12 months starting from the Effective Date (as defined below), payable in biweekly installments in accordance with the general payroll practices of the Company. This severance is in accordance with the severance obligation provided in Paragraph 5 of the Offer Letter in the event of a termination by the Company without cause.</w:t>
      </w:r>
    </w:p>
    <w:p>
      <w:pPr>
        <w:spacing w:after="0" w:line="172" w:lineRule="exact"/>
        <w:rPr>
          <w:rFonts w:ascii="Arial" w:cs="Arial" w:eastAsia="Arial" w:hAnsi="Arial"/>
          <w:sz w:val="20"/>
          <w:szCs w:val="20"/>
          <w:color w:val="auto"/>
        </w:rPr>
      </w:pPr>
    </w:p>
    <w:p>
      <w:pPr>
        <w:ind w:left="760" w:hanging="752"/>
        <w:spacing w:after="0"/>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Treatment of Outstanding Equity Awards</w:t>
      </w:r>
    </w:p>
    <w:p>
      <w:pPr>
        <w:spacing w:after="0" w:line="202" w:lineRule="exact"/>
        <w:rPr>
          <w:rFonts w:ascii="Arial" w:cs="Arial" w:eastAsia="Arial" w:hAnsi="Arial"/>
          <w:sz w:val="20"/>
          <w:szCs w:val="20"/>
          <w:color w:val="auto"/>
        </w:rPr>
      </w:pPr>
    </w:p>
    <w:p>
      <w:pPr>
        <w:jc w:val="both"/>
        <w:ind w:left="760"/>
        <w:spacing w:after="0" w:line="233" w:lineRule="auto"/>
        <w:rPr>
          <w:rFonts w:ascii="Arial" w:cs="Arial" w:eastAsia="Arial" w:hAnsi="Arial"/>
          <w:sz w:val="20"/>
          <w:szCs w:val="20"/>
          <w:color w:val="auto"/>
        </w:rPr>
      </w:pPr>
      <w:r>
        <w:rPr>
          <w:rFonts w:ascii="Arial" w:cs="Arial" w:eastAsia="Arial" w:hAnsi="Arial"/>
          <w:sz w:val="20"/>
          <w:szCs w:val="20"/>
          <w:color w:val="auto"/>
        </w:rPr>
        <w:t>All outstanding equity awards held by Employee shall be treated in accordance with their terms upon a termination by the Company without cause. Accordingly, all unvested equity awards held by Employee will be forfeited in their entirety as of the Termination Date except the remaining 21,978 unvested restricted share units (“RSUs”) granted pursuant to a Restricted Share Unit Agreement dated March 25, 2024 (the “Make-Whole Restricted Share Unit Agreement”), which remaining 21,978 unvested RSUs shall accelerate and vest as of the Termination Date in accordance with Section 4.2 of the Make-Whole Restricted Share Unit Agreement.</w:t>
      </w:r>
    </w:p>
    <w:p>
      <w:pPr>
        <w:spacing w:after="0" w:line="172" w:lineRule="exact"/>
        <w:rPr>
          <w:rFonts w:ascii="Arial" w:cs="Arial" w:eastAsia="Arial" w:hAnsi="Arial"/>
          <w:sz w:val="20"/>
          <w:szCs w:val="20"/>
          <w:color w:val="auto"/>
        </w:rPr>
      </w:pPr>
    </w:p>
    <w:p>
      <w:pPr>
        <w:ind w:left="760" w:hanging="752"/>
        <w:spacing w:after="0"/>
        <w:tabs>
          <w:tab w:leader="none" w:pos="7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Benefits</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Hain agrees to continue Employee’s medical, dental and vision coverage through the last day of the calendar month in which the Termination Date occurs (the “Medical Coverage End Date”), in accordance with Hain’s standard policy for U.S. employees. Thereafter, Employee will be eligible to elect to continue medical, dental and vision plan coverage pursuant to the notice sent to Employee by the Company’s insurance provider in accordance with the Consolidated Omnibus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5" w:name="page126"/>
    <w:bookmarkEnd w:id="125"/>
    <w:p>
      <w:pPr>
        <w:spacing w:after="0" w:line="55" w:lineRule="exact"/>
        <w:rPr>
          <w:sz w:val="20"/>
          <w:szCs w:val="20"/>
          <w:color w:val="auto"/>
        </w:rPr>
      </w:pPr>
    </w:p>
    <w:p>
      <w:pPr>
        <w:jc w:val="both"/>
        <w:ind w:left="760"/>
        <w:spacing w:after="0" w:line="230" w:lineRule="auto"/>
        <w:rPr>
          <w:sz w:val="20"/>
          <w:szCs w:val="20"/>
          <w:color w:val="auto"/>
        </w:rPr>
      </w:pPr>
      <w:r>
        <w:rPr>
          <w:rFonts w:ascii="Arial" w:cs="Arial" w:eastAsia="Arial" w:hAnsi="Arial"/>
          <w:sz w:val="20"/>
          <w:szCs w:val="20"/>
          <w:color w:val="auto"/>
        </w:rPr>
        <w:t>Budget Reconciliation Act ("COBRA"). If Employee properly and timely elects medical, dental, and/or vision coverage pursuant to COBRA as coverage existed as of the Termination Date, Hain agrees to pay the cost of the premium for such elected coverage (subject to applicable taxes) for a period of 12 months following the Medical Coverage End Date, provided Employee remains eligible for COBRA coverage continuation. Thereafter, Employee shall be entitled to elect to continue such COBRA coverage for the remainder of the COBRA period, at Employee’s own expense, in accordance with applicable law. In the event Employee becomes eligible for coverage under another employer’s plan or elects participation in another group medical and dental plan, Hain’s obligation to continue paying premiums under this Section shall cease immediately. Employee shall notify Hain immediately of Employee’s eligibility for coverage under another employer’s plan or election to participate in another group plan so that Hain may cease making COBRA payments on Employee’s behalf.</w:t>
      </w:r>
    </w:p>
    <w:p>
      <w:pPr>
        <w:spacing w:after="0" w:line="172" w:lineRule="exact"/>
        <w:rPr>
          <w:sz w:val="20"/>
          <w:szCs w:val="20"/>
          <w:color w:val="auto"/>
        </w:rPr>
      </w:pPr>
    </w:p>
    <w:p>
      <w:pPr>
        <w:jc w:val="both"/>
        <w:ind w:left="760" w:right="20"/>
        <w:spacing w:after="0" w:line="241" w:lineRule="auto"/>
        <w:rPr>
          <w:sz w:val="20"/>
          <w:szCs w:val="20"/>
          <w:color w:val="auto"/>
        </w:rPr>
      </w:pPr>
      <w:r>
        <w:rPr>
          <w:rFonts w:ascii="Arial" w:cs="Arial" w:eastAsia="Arial" w:hAnsi="Arial"/>
          <w:sz w:val="20"/>
          <w:szCs w:val="20"/>
          <w:color w:val="auto"/>
        </w:rPr>
        <w:t>Employee's participation in all other benefits and incidents of employment (including, but not limited to, the accrual of vacation and paid time off, Life Insurance, AD&amp;D, Long Term Disability, 401(k), and, except as expressly provided in Section 3 hereof, the vesting of equity grants) cease on the Termination Date.</w:t>
      </w:r>
    </w:p>
    <w:p>
      <w:pPr>
        <w:spacing w:after="0" w:line="171"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No Further Payment of Salary, Bonuses or Other Benefits or Compensation</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Except with respect to (A) the severance payments provided by Section 2 hereof, (B) the accelerated vesting of unvested RSUs pursuant to the Make-Whole Restricted Share Unit Agreement, (C) the COBRA benefits provided by Section 4 hereof, and (D) accrued vacation through the Termination Date (which accrued and unused vacation will be paid to Employee in accordance with the Company’s standard policy and practices), Employee acknowledges and represents that, as of the date Employee signed this Agreement, Hain has paid all salary, wages, bonuses, equity, housing allowances, relocation costs, interest, severance, stock, fees, commissions, and any and all other benefits and compensation due to Employee.</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Indemnification</w:t>
      </w:r>
    </w:p>
    <w:p>
      <w:pPr>
        <w:spacing w:after="0" w:line="202" w:lineRule="exact"/>
        <w:rPr>
          <w:rFonts w:ascii="Arial" w:cs="Arial" w:eastAsia="Arial" w:hAnsi="Arial"/>
          <w:sz w:val="20"/>
          <w:szCs w:val="20"/>
          <w:color w:val="auto"/>
        </w:rPr>
      </w:pPr>
    </w:p>
    <w:p>
      <w:pPr>
        <w:jc w:val="both"/>
        <w:ind w:left="760"/>
        <w:spacing w:after="0" w:line="239" w:lineRule="auto"/>
        <w:rPr>
          <w:rFonts w:ascii="Arial" w:cs="Arial" w:eastAsia="Arial" w:hAnsi="Arial"/>
          <w:sz w:val="20"/>
          <w:szCs w:val="20"/>
          <w:color w:val="auto"/>
        </w:rPr>
      </w:pPr>
      <w:r>
        <w:rPr>
          <w:rFonts w:ascii="Arial" w:cs="Arial" w:eastAsia="Arial" w:hAnsi="Arial"/>
          <w:sz w:val="19"/>
          <w:szCs w:val="19"/>
          <w:color w:val="auto"/>
        </w:rPr>
        <w:t xml:space="preserve">Notwithstanding anything to the contrary herein, including any release by Employee herein, to the fullest extent permitted by applicable law and the provisions of the existing Hain Certificate of Incorporation, Hain shall indemnify and hold harmless Employee from and against any and all liabilities, obligations, losses, damages, fines, taxes and interest and penalties thereon (other than taxes based on fees or other compensation received by Employee), claims, demands, actions, suits, proceedings (whether civil, criminal, administrative, investigative or otherwise), costs, expenses and disbursements (including legal and accounting fees and expenses, costs of investigation and sums paid in settlement) of any kind or nature whatsoever (collectively, “Claims and Expenses”) which may be imposed on, incurred by or asserted at any time against Employee in any way related to Employee’s employment by Hain, or the management or administration of Hain, or in connection with the business or affairs of Hain or the activities of Employee on behalf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Employee shall not be entitled to indemnification hereunder for Claims and Expenses that are</w:t>
      </w:r>
    </w:p>
    <w:p>
      <w:pPr>
        <w:spacing w:after="0" w:line="2"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(i) incurred by Employee as plaintiff in any action, suit or proceeding brought against the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55" w:lineRule="exact"/>
        <w:rPr>
          <w:sz w:val="20"/>
          <w:szCs w:val="20"/>
          <w:color w:val="auto"/>
        </w:rPr>
      </w:pPr>
    </w:p>
    <w:p>
      <w:pPr>
        <w:jc w:val="both"/>
        <w:ind w:left="760"/>
        <w:spacing w:after="0" w:line="241" w:lineRule="auto"/>
        <w:rPr>
          <w:sz w:val="20"/>
          <w:szCs w:val="20"/>
          <w:color w:val="auto"/>
        </w:rPr>
      </w:pPr>
      <w:r>
        <w:rPr>
          <w:rFonts w:ascii="Arial" w:cs="Arial" w:eastAsia="Arial" w:hAnsi="Arial"/>
          <w:sz w:val="20"/>
          <w:szCs w:val="20"/>
          <w:color w:val="auto"/>
        </w:rPr>
        <w:t>Company or (ii) incurred by Employee as a defendant in any action, suit or proceeding brought against Employee by a third party and found by a court of competent jurisdiction in a final judgment not subject to further appeal to be attributable to Employee’s fraud, gross negligence or willful misconduct.</w:t>
      </w:r>
    </w:p>
    <w:p>
      <w:pPr>
        <w:spacing w:after="0" w:line="171" w:lineRule="exact"/>
        <w:rPr>
          <w:sz w:val="20"/>
          <w:szCs w:val="20"/>
          <w:color w:val="auto"/>
        </w:rPr>
      </w:pPr>
    </w:p>
    <w:p>
      <w:pPr>
        <w:ind w:left="760" w:hanging="752"/>
        <w:spacing w:after="0"/>
        <w:tabs>
          <w:tab w:leader="none" w:pos="76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Release by Employee</w:t>
      </w:r>
    </w:p>
    <w:p>
      <w:pPr>
        <w:spacing w:after="0" w:line="202" w:lineRule="exact"/>
        <w:rPr>
          <w:rFonts w:ascii="Arial" w:cs="Arial" w:eastAsia="Arial" w:hAnsi="Arial"/>
          <w:sz w:val="20"/>
          <w:szCs w:val="20"/>
          <w:color w:val="auto"/>
        </w:rPr>
      </w:pPr>
    </w:p>
    <w:p>
      <w:pPr>
        <w:jc w:val="both"/>
        <w:ind w:left="760"/>
        <w:spacing w:after="0" w:line="242" w:lineRule="auto"/>
        <w:rPr>
          <w:rFonts w:ascii="Arial" w:cs="Arial" w:eastAsia="Arial" w:hAnsi="Arial"/>
          <w:sz w:val="20"/>
          <w:szCs w:val="20"/>
          <w:color w:val="auto"/>
        </w:rPr>
      </w:pPr>
      <w:r>
        <w:rPr>
          <w:rFonts w:ascii="Arial" w:cs="Arial" w:eastAsia="Arial" w:hAnsi="Arial"/>
          <w:sz w:val="19"/>
          <w:szCs w:val="19"/>
          <w:color w:val="auto"/>
        </w:rPr>
        <w:t>Employee agrees that Employee would not be entitled to the consideration and benefits set forth in Section 2, Section 3 and Section 4 hereof absent Employee’s execution and fulfillment of this Agreement. As a consequence of execution of this Agreement, Hain and its current and former officers, directors, employees, agents, investors, attorneys, creditors, counsel, shareholders, administrators, affiliates, divisions, subsidiaries, predecessor and successor corporations and assigns and any other affiliated or related person or entity (the “Releasees”) have no outstanding obligations to Employee. Employee, on Employee’s own behalf, and on behalf of Employee’s present and former heirs, family members, executors, creditors, agents, assigns and any other affiliated or related person or entity, hereby fully and forever releases Hain and the other Releasees from, and agrees not to sue concerning, any claim, duty, obligation or cause of action relating to any matters of any kind, whether presently known or unknown, suspected or unsuspected, that Employee may possess up to and including the Effective Date of this Agreement, including, without limitation:</w:t>
      </w:r>
    </w:p>
    <w:p>
      <w:pPr>
        <w:spacing w:after="0" w:line="172" w:lineRule="exact"/>
        <w:rPr>
          <w:rFonts w:ascii="Arial" w:cs="Arial" w:eastAsia="Arial" w:hAnsi="Arial"/>
          <w:sz w:val="20"/>
          <w:szCs w:val="20"/>
          <w:color w:val="auto"/>
        </w:rPr>
      </w:pPr>
    </w:p>
    <w:p>
      <w:pPr>
        <w:ind w:left="1500" w:right="20" w:hanging="743"/>
        <w:spacing w:after="0" w:line="257"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with Hain, or the termination of that employment;</w:t>
      </w:r>
    </w:p>
    <w:p>
      <w:pPr>
        <w:spacing w:after="0" w:line="155" w:lineRule="exact"/>
        <w:rPr>
          <w:rFonts w:ascii="Arial" w:cs="Arial" w:eastAsia="Arial" w:hAnsi="Arial"/>
          <w:sz w:val="20"/>
          <w:szCs w:val="20"/>
          <w:color w:val="auto"/>
        </w:rPr>
      </w:pPr>
    </w:p>
    <w:p>
      <w:pPr>
        <w:jc w:val="both"/>
        <w:ind w:left="1500" w:hanging="743"/>
        <w:spacing w:after="0" w:line="237"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right to purchase or receive, or actual purchase or receipt of, shares of Company stock, including, but not limited to, any claims for fraud, misrepresentation, breach of fiduciary duty, breach of duty under applicable state corporate law, and securities fraud under any state or federal law;</w:t>
      </w:r>
    </w:p>
    <w:p>
      <w:pPr>
        <w:spacing w:after="0" w:line="171" w:lineRule="exact"/>
        <w:rPr>
          <w:rFonts w:ascii="Arial" w:cs="Arial" w:eastAsia="Arial" w:hAnsi="Arial"/>
          <w:sz w:val="20"/>
          <w:szCs w:val="20"/>
          <w:color w:val="auto"/>
        </w:rPr>
      </w:pPr>
    </w:p>
    <w:p>
      <w:pPr>
        <w:jc w:val="both"/>
        <w:ind w:left="1500" w:hanging="743"/>
        <w:spacing w:after="0" w:line="232"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and all claims under the law of any jurisdiction, including, but not limited to, wrongful discharge of employment; constructive discharge from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qui tam; whistleblower, battery; invasion of privacy; false imprisonment; and conversion;</w:t>
      </w:r>
    </w:p>
    <w:p>
      <w:pPr>
        <w:spacing w:after="0" w:line="171" w:lineRule="exact"/>
        <w:rPr>
          <w:rFonts w:ascii="Arial" w:cs="Arial" w:eastAsia="Arial" w:hAnsi="Arial"/>
          <w:sz w:val="20"/>
          <w:szCs w:val="20"/>
          <w:color w:val="auto"/>
        </w:rPr>
      </w:pPr>
    </w:p>
    <w:p>
      <w:pPr>
        <w:jc w:val="both"/>
        <w:ind w:left="1500" w:hanging="743"/>
        <w:spacing w:after="0" w:line="233"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Employee Retirement Income Security Act of 1974; the Worker Adjustment and Retraining Notification Act; the Family and Medical Leave Act; the Equal Pay Act of 1963; the Fair Credit Reporting Act; the Illinois Human Rights Act; the Right to Privacy in the Workplace Act; the Illinois Employment Contract Act; the Illinois Labor</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55" w:lineRule="exact"/>
        <w:rPr>
          <w:sz w:val="20"/>
          <w:szCs w:val="20"/>
          <w:color w:val="auto"/>
        </w:rPr>
      </w:pPr>
    </w:p>
    <w:p>
      <w:pPr>
        <w:jc w:val="both"/>
        <w:ind w:left="1500"/>
        <w:spacing w:after="0" w:line="233" w:lineRule="auto"/>
        <w:rPr>
          <w:sz w:val="20"/>
          <w:szCs w:val="20"/>
          <w:color w:val="auto"/>
        </w:rPr>
      </w:pPr>
      <w:r>
        <w:rPr>
          <w:rFonts w:ascii="Arial" w:cs="Arial" w:eastAsia="Arial" w:hAnsi="Arial"/>
          <w:sz w:val="20"/>
          <w:szCs w:val="20"/>
          <w:color w:val="auto"/>
        </w:rPr>
        <w:t>Dispute Act; the Victims' Economic Security and Safety Act; the Illinois Whistleblower Act; the Illinois Equal Pay Act; the New Jersey Law Against Discrimination; the New Jersey Family Leave Act; the New Jersey Conscientious Employee Protection Act; the New Jersey wage, wage payment, wage theft and wage-hour laws; the Older Workers Benefit Protection Act; the New York State Executive Law (including its Human Rights Law); the New York City Administrative Code (including its Human Rights Law); the New York State Labor Law; the New York wage, wage payment, wage theft and wage-hour laws; and the Sarbanes-Oxley Act;</w:t>
      </w:r>
    </w:p>
    <w:p>
      <w:pPr>
        <w:spacing w:after="0" w:line="172" w:lineRule="exact"/>
        <w:rPr>
          <w:sz w:val="20"/>
          <w:szCs w:val="20"/>
          <w:color w:val="auto"/>
        </w:rPr>
      </w:pPr>
    </w:p>
    <w:p>
      <w:pPr>
        <w:ind w:left="1500" w:hanging="743"/>
        <w:spacing w:after="0"/>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02" w:lineRule="exact"/>
        <w:rPr>
          <w:rFonts w:ascii="Arial" w:cs="Arial" w:eastAsia="Arial" w:hAnsi="Arial"/>
          <w:sz w:val="20"/>
          <w:szCs w:val="20"/>
          <w:color w:val="auto"/>
        </w:rPr>
      </w:pPr>
    </w:p>
    <w:p>
      <w:pPr>
        <w:ind w:left="1500" w:hanging="743"/>
        <w:spacing w:after="0" w:line="257" w:lineRule="auto"/>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and all claims arising out of any other laws and regulations relating to employment or employment discrimination;</w:t>
      </w:r>
    </w:p>
    <w:p>
      <w:pPr>
        <w:spacing w:after="0" w:line="155" w:lineRule="exact"/>
        <w:rPr>
          <w:rFonts w:ascii="Arial" w:cs="Arial" w:eastAsia="Arial" w:hAnsi="Arial"/>
          <w:sz w:val="20"/>
          <w:szCs w:val="20"/>
          <w:color w:val="auto"/>
        </w:rPr>
      </w:pPr>
    </w:p>
    <w:p>
      <w:pPr>
        <w:ind w:left="1500" w:hanging="743"/>
        <w:spacing w:after="0" w:line="257" w:lineRule="auto"/>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55" w:lineRule="exact"/>
        <w:rPr>
          <w:rFonts w:ascii="Arial" w:cs="Arial" w:eastAsia="Arial" w:hAnsi="Arial"/>
          <w:sz w:val="20"/>
          <w:szCs w:val="20"/>
          <w:color w:val="auto"/>
        </w:rPr>
      </w:pPr>
    </w:p>
    <w:p>
      <w:pPr>
        <w:ind w:left="1500" w:hanging="743"/>
        <w:spacing w:after="0"/>
        <w:tabs>
          <w:tab w:leader="none" w:pos="15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02" w:lineRule="exact"/>
        <w:rPr>
          <w:sz w:val="20"/>
          <w:szCs w:val="20"/>
          <w:color w:val="auto"/>
        </w:rPr>
      </w:pPr>
    </w:p>
    <w:p>
      <w:pPr>
        <w:jc w:val="both"/>
        <w:ind w:left="760"/>
        <w:spacing w:after="0" w:line="233" w:lineRule="auto"/>
        <w:rPr>
          <w:sz w:val="20"/>
          <w:szCs w:val="20"/>
          <w:color w:val="auto"/>
        </w:rPr>
      </w:pPr>
      <w:r>
        <w:rPr>
          <w:rFonts w:ascii="Arial" w:cs="Arial" w:eastAsia="Arial" w:hAnsi="Arial"/>
          <w:sz w:val="20"/>
          <w:szCs w:val="20"/>
          <w:color w:val="auto"/>
        </w:rPr>
        <w:t>Hain and Employee agree that the release set forth in this Section shall be and remain in effect in all respects as a complete general release as to the matters released for all time. Employee agrees and understands this Agreement provides a full and final general release covering all known and unknown and anticipated and unanticipated injuries, debts, or damages which may have arisen, or which may arise, connected with all matters from the beginning of time to the Effective Date, as well as those injuries, debts, claims or damages now known or disclosed which may have arisen, or which may arise, from Employee’s employment with or separation from Hain on the Termination Date.</w:t>
      </w:r>
    </w:p>
    <w:p>
      <w:pPr>
        <w:spacing w:after="0" w:line="172" w:lineRule="exact"/>
        <w:rPr>
          <w:sz w:val="20"/>
          <w:szCs w:val="20"/>
          <w:color w:val="auto"/>
        </w:rPr>
      </w:pPr>
    </w:p>
    <w:p>
      <w:pPr>
        <w:jc w:val="both"/>
        <w:ind w:left="760"/>
        <w:spacing w:after="0" w:line="232" w:lineRule="auto"/>
        <w:rPr>
          <w:sz w:val="20"/>
          <w:szCs w:val="20"/>
          <w:color w:val="auto"/>
        </w:rPr>
      </w:pPr>
      <w:r>
        <w:rPr>
          <w:rFonts w:ascii="Arial" w:cs="Arial" w:eastAsia="Arial" w:hAnsi="Arial"/>
          <w:sz w:val="20"/>
          <w:szCs w:val="20"/>
          <w:color w:val="auto"/>
        </w:rPr>
        <w:t>This release is not intended to bar claims for workers’ compensation benefits or unemployment insurance benefits, but Employee acknowledges that Employee is not aware of any work-related condition or injury. Moreover, Employee and Hain acknowledge that this Agreement does not limit either party’s right, where applicable, to file or participate in an investigation, hearing, whistleblower proceeding, or other federal, state or local governmental agency (“Governmental Agency”) proceeding, but Employee waives the right to any personal remedy, to the maximum extent permitted by law, except that this Agreement does not limit Employee’s right to receive an award for information provided to any Governmental Agency.</w:t>
      </w:r>
    </w:p>
    <w:p>
      <w:pPr>
        <w:spacing w:after="0" w:line="172" w:lineRule="exact"/>
        <w:rPr>
          <w:sz w:val="20"/>
          <w:szCs w:val="20"/>
          <w:color w:val="auto"/>
        </w:rPr>
      </w:pPr>
    </w:p>
    <w:p>
      <w:pPr>
        <w:ind w:left="760" w:hanging="752"/>
        <w:spacing w:after="0"/>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p>
    <w:p>
      <w:pPr>
        <w:spacing w:after="0" w:line="310"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Employee acknowledges that Employee is waiving and releasing any rights Employee may have under the Age Discrimination in Employment Act of 1967 (“ADEA”) and that this waiver and release is knowing and voluntary. Employee and Hain agree that this waiver and release does not apply to any rights or claims that may arise under the ADEA after the Effective Date of this Agreement. Employee acknowledges that the consideration given for this waiver and release is in addition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55" w:lineRule="exact"/>
        <w:rPr>
          <w:sz w:val="20"/>
          <w:szCs w:val="20"/>
          <w:color w:val="auto"/>
        </w:rPr>
      </w:pPr>
    </w:p>
    <w:p>
      <w:pPr>
        <w:ind w:left="760" w:right="20"/>
        <w:spacing w:after="0" w:line="257" w:lineRule="auto"/>
        <w:rPr>
          <w:sz w:val="20"/>
          <w:szCs w:val="20"/>
          <w:color w:val="auto"/>
        </w:rPr>
      </w:pPr>
      <w:r>
        <w:rPr>
          <w:rFonts w:ascii="Arial" w:cs="Arial" w:eastAsia="Arial" w:hAnsi="Arial"/>
          <w:sz w:val="20"/>
          <w:szCs w:val="20"/>
          <w:color w:val="auto"/>
        </w:rPr>
        <w:t>to anything of value to which Employee was already entitled. Employee further acknowledges that Employee has been advised by this writing that:</w:t>
      </w:r>
    </w:p>
    <w:p>
      <w:pPr>
        <w:spacing w:after="0" w:line="47" w:lineRule="exact"/>
        <w:rPr>
          <w:sz w:val="20"/>
          <w:szCs w:val="20"/>
          <w:color w:val="auto"/>
        </w:rPr>
      </w:pPr>
    </w:p>
    <w:p>
      <w:pPr>
        <w:ind w:left="1500" w:hanging="758"/>
        <w:spacing w:after="0"/>
        <w:tabs>
          <w:tab w:leader="none" w:pos="15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Employee should consult with an attorney prior to executing this Agreement;</w:t>
      </w:r>
    </w:p>
    <w:p>
      <w:pPr>
        <w:spacing w:after="0" w:line="202" w:lineRule="exact"/>
        <w:rPr>
          <w:rFonts w:ascii="Arial" w:cs="Arial" w:eastAsia="Arial" w:hAnsi="Arial"/>
          <w:sz w:val="20"/>
          <w:szCs w:val="20"/>
          <w:color w:val="auto"/>
        </w:rPr>
      </w:pPr>
    </w:p>
    <w:p>
      <w:pPr>
        <w:ind w:left="1500" w:hanging="758"/>
        <w:spacing w:after="0"/>
        <w:tabs>
          <w:tab w:leader="none" w:pos="15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Employee has up to twenty-one (21) days within which to consider this Agreement;</w:t>
      </w:r>
    </w:p>
    <w:p>
      <w:pPr>
        <w:spacing w:after="0" w:line="202" w:lineRule="exact"/>
        <w:rPr>
          <w:rFonts w:ascii="Arial" w:cs="Arial" w:eastAsia="Arial" w:hAnsi="Arial"/>
          <w:sz w:val="20"/>
          <w:szCs w:val="20"/>
          <w:color w:val="auto"/>
        </w:rPr>
      </w:pPr>
    </w:p>
    <w:p>
      <w:pPr>
        <w:ind w:left="1500" w:hanging="758"/>
        <w:spacing w:after="0"/>
        <w:tabs>
          <w:tab w:leader="none" w:pos="15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Employee has seven (7) days following Employee’s execution of this Agreement to revoke this Agreement;</w:t>
      </w:r>
    </w:p>
    <w:p>
      <w:pPr>
        <w:spacing w:after="0" w:line="202" w:lineRule="exact"/>
        <w:rPr>
          <w:rFonts w:ascii="Arial" w:cs="Arial" w:eastAsia="Arial" w:hAnsi="Arial"/>
          <w:sz w:val="20"/>
          <w:szCs w:val="20"/>
          <w:color w:val="auto"/>
        </w:rPr>
      </w:pPr>
    </w:p>
    <w:p>
      <w:pPr>
        <w:ind w:left="1500" w:hanging="758"/>
        <w:spacing w:after="0"/>
        <w:tabs>
          <w:tab w:leader="none" w:pos="15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this Agreement shall not be effective until the revocation period has expired; and</w:t>
      </w:r>
    </w:p>
    <w:p>
      <w:pPr>
        <w:spacing w:after="0" w:line="202" w:lineRule="exact"/>
        <w:rPr>
          <w:rFonts w:ascii="Arial" w:cs="Arial" w:eastAsia="Arial" w:hAnsi="Arial"/>
          <w:sz w:val="20"/>
          <w:szCs w:val="20"/>
          <w:color w:val="auto"/>
        </w:rPr>
      </w:pPr>
    </w:p>
    <w:p>
      <w:pPr>
        <w:jc w:val="both"/>
        <w:ind w:left="1500" w:hanging="758"/>
        <w:spacing w:after="0" w:line="237" w:lineRule="auto"/>
        <w:tabs>
          <w:tab w:leader="none" w:pos="1500"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However, if the release of ADEA claims or any other claim is set aside or limited, all monies paid hereunder shall be set-off against any relief or recovery.</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Neither this Agreement, nor anything contained herein, shall be construed as an admission by the Company that it has in any respect violated or abridged any Federal, State, or local law or any right or obligation that it may owe or may have owed to Employee. No final findings or final judgments have been made and Employee does not purport and will not claim to be a prevailing party, to any degree or extent, nor will this Agreement or its terms be admissible in any proceeding other than in a proceeding for breach of the terms contained herein.</w:t>
      </w:r>
    </w:p>
    <w:p>
      <w:pPr>
        <w:spacing w:after="0" w:line="174" w:lineRule="exact"/>
        <w:rPr>
          <w:rFonts w:ascii="Arial" w:cs="Arial" w:eastAsia="Arial" w:hAnsi="Arial"/>
          <w:sz w:val="20"/>
          <w:szCs w:val="20"/>
          <w:color w:val="auto"/>
        </w:rPr>
      </w:pPr>
    </w:p>
    <w:p>
      <w:pPr>
        <w:ind w:left="760" w:hanging="752"/>
        <w:spacing w:after="0"/>
        <w:tabs>
          <w:tab w:leader="none" w:pos="7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Cooperation by Employee</w:t>
      </w:r>
    </w:p>
    <w:p>
      <w:pPr>
        <w:spacing w:after="0" w:line="202" w:lineRule="exact"/>
        <w:rPr>
          <w:rFonts w:ascii="Arial" w:cs="Arial" w:eastAsia="Arial" w:hAnsi="Arial"/>
          <w:sz w:val="20"/>
          <w:szCs w:val="20"/>
          <w:color w:val="auto"/>
        </w:rPr>
      </w:pPr>
    </w:p>
    <w:p>
      <w:pPr>
        <w:jc w:val="both"/>
        <w:ind w:left="760"/>
        <w:spacing w:after="0" w:line="243" w:lineRule="auto"/>
        <w:rPr>
          <w:rFonts w:ascii="Arial" w:cs="Arial" w:eastAsia="Arial" w:hAnsi="Arial"/>
          <w:sz w:val="20"/>
          <w:szCs w:val="20"/>
          <w:color w:val="auto"/>
        </w:rPr>
      </w:pPr>
      <w:r>
        <w:rPr>
          <w:rFonts w:ascii="Arial" w:cs="Arial" w:eastAsia="Arial" w:hAnsi="Arial"/>
          <w:sz w:val="19"/>
          <w:szCs w:val="19"/>
          <w:color w:val="auto"/>
        </w:rPr>
        <w:t>To the maximum extent permitted by law, Employee shall assist Hain in the presentation or prosecution of any disputes, differences, grievances, claims, charges, or complaints by any third party against Hain or any of the Releasees without additional compensation, provided, however that Hain will reimburse Employee for reasonable out-of-pocket and travel-related expenses incurred with providing such assistance. Employee and Hain acknowledge this Section does not limit the right, where applicable, to file or participate in an investigative proceeding of any Governmental Agency without requiring notice to Hain or any of the Releasees; Employee nevertheless understands that because of the waiver and general release Employee freely provides by signing this Agreement, Employee cannot obtain any monetary relief or recovery in any such proceeding to the extent permitted by law, except that this Agreement does not limit Employee’s right to receive an award for information provided to any Governmental Agency, as set forth in Section 7.</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55" w:lineRule="exact"/>
        <w:rPr>
          <w:sz w:val="20"/>
          <w:szCs w:val="20"/>
          <w:color w:val="auto"/>
        </w:rPr>
      </w:pPr>
    </w:p>
    <w:p>
      <w:pPr>
        <w:ind w:left="760" w:hanging="752"/>
        <w:spacing w:after="0"/>
        <w:tabs>
          <w:tab w:leader="none" w:pos="7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Confidential and Proprietary Information of Hain</w:t>
      </w:r>
    </w:p>
    <w:p>
      <w:pPr>
        <w:spacing w:after="0" w:line="202" w:lineRule="exact"/>
        <w:rPr>
          <w:rFonts w:ascii="Arial" w:cs="Arial" w:eastAsia="Arial" w:hAnsi="Arial"/>
          <w:sz w:val="20"/>
          <w:szCs w:val="20"/>
          <w:color w:val="auto"/>
        </w:rPr>
      </w:pPr>
    </w:p>
    <w:p>
      <w:pPr>
        <w:jc w:val="both"/>
        <w:ind w:left="760"/>
        <w:spacing w:after="0" w:line="229" w:lineRule="auto"/>
        <w:rPr>
          <w:rFonts w:ascii="Arial" w:cs="Arial" w:eastAsia="Arial" w:hAnsi="Arial"/>
          <w:sz w:val="20"/>
          <w:szCs w:val="20"/>
          <w:color w:val="auto"/>
        </w:rPr>
      </w:pPr>
      <w:r>
        <w:rPr>
          <w:rFonts w:ascii="Arial" w:cs="Arial" w:eastAsia="Arial" w:hAnsi="Arial"/>
          <w:sz w:val="20"/>
          <w:szCs w:val="20"/>
          <w:color w:val="auto"/>
        </w:rPr>
        <w:t>In accordance with the Confidentiality, Non-Interference, and Invention Assignment Agreements in existence between the Employee and the Company (the “Restrictive Covenant Agreements”), Employee understands and agrees that all books, records, documents and information, whether written or not, pertaining to Hain's business activities, are the confidential and proprietary property of Hain (hereinafter referred to as "trade secrets and confidential and proprietary information") and must be returned in full and without retention of copies. Employee warrants, covenants, and agrees that Employee will not disclose any of Hain's trade secrets and confidential and proprietary information to any person or entity not employed, owned by, or otherwise affiliated with Hain or use such information for Employee’s own benefit or the benefit of any person or entity not employed, owned by, or otherwise affiliated with Hain. Employee further agrees that Employee shall not be entitled to copies, in any form, of such trade secrets and confidential and proprietary information and Employee shall immediately return to Hain any copies of such information currently in Employee’s possession or control. Notwithstanding the foregoing, nothing in this Agreement shall be construed to limit Employee from disclosing Employee’s own wages or other employment terms as provided by law.</w:t>
      </w:r>
    </w:p>
    <w:p>
      <w:pPr>
        <w:spacing w:after="0" w:line="174" w:lineRule="exact"/>
        <w:rPr>
          <w:rFonts w:ascii="Arial" w:cs="Arial" w:eastAsia="Arial" w:hAnsi="Arial"/>
          <w:sz w:val="20"/>
          <w:szCs w:val="20"/>
          <w:color w:val="auto"/>
        </w:rPr>
      </w:pPr>
    </w:p>
    <w:p>
      <w:pPr>
        <w:jc w:val="both"/>
        <w:ind w:left="760"/>
        <w:spacing w:after="0"/>
        <w:rPr>
          <w:rFonts w:ascii="Arial" w:cs="Arial" w:eastAsia="Arial" w:hAnsi="Arial"/>
          <w:sz w:val="20"/>
          <w:szCs w:val="20"/>
          <w:color w:val="auto"/>
        </w:rPr>
      </w:pPr>
      <w:r>
        <w:rPr>
          <w:rFonts w:ascii="Arial" w:cs="Arial" w:eastAsia="Arial" w:hAnsi="Arial"/>
          <w:sz w:val="19"/>
          <w:szCs w:val="19"/>
          <w:color w:val="auto"/>
        </w:rPr>
        <w:t>Notwithstanding anything herein to the contrary, as set forth in Section 7, this Agreement does not limit or interfere with Employee’s right, without notice to or authorization of the Company, to communicate and cooperate in good faith with any Governmental Agency , including by providing documents or other information, or (iii) filing a charge or complaint with a Governmental Agency, provided that in each case, such communications, participation, and disclosures are consistent with applicable law. Additionally, Employee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w:t>
      </w:r>
    </w:p>
    <w:p>
      <w:pPr>
        <w:jc w:val="both"/>
        <w:ind w:left="760" w:hanging="3"/>
        <w:spacing w:after="0" w:line="231" w:lineRule="auto"/>
        <w:tabs>
          <w:tab w:leader="none" w:pos="1038" w:val="left"/>
        </w:tabs>
        <w:numPr>
          <w:ilvl w:val="1"/>
          <w:numId w:val="59"/>
        </w:numPr>
        <w:rPr>
          <w:rFonts w:ascii="Arial" w:cs="Arial" w:eastAsia="Arial" w:hAnsi="Arial"/>
          <w:sz w:val="20"/>
          <w:szCs w:val="20"/>
          <w:color w:val="auto"/>
        </w:rPr>
      </w:pPr>
      <w:r>
        <w:rPr>
          <w:rFonts w:ascii="Arial" w:cs="Arial" w:eastAsia="Arial" w:hAnsi="Arial"/>
          <w:sz w:val="20"/>
          <w:szCs w:val="20"/>
          <w:color w:val="auto"/>
        </w:rPr>
        <w:t>in a complaint or other document filed in a lawsuit or other proceeding, if such filing is made under seal.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Post-Employment Restrictive Covenants</w:t>
      </w:r>
    </w:p>
    <w:p>
      <w:pPr>
        <w:spacing w:after="0" w:line="202" w:lineRule="exact"/>
        <w:rPr>
          <w:rFonts w:ascii="Arial" w:cs="Arial" w:eastAsia="Arial" w:hAnsi="Arial"/>
          <w:sz w:val="20"/>
          <w:szCs w:val="20"/>
          <w:color w:val="auto"/>
        </w:rPr>
      </w:pPr>
    </w:p>
    <w:p>
      <w:pPr>
        <w:jc w:val="both"/>
        <w:ind w:left="760"/>
        <w:spacing w:after="0" w:line="233" w:lineRule="auto"/>
        <w:rPr>
          <w:rFonts w:ascii="Arial" w:cs="Arial" w:eastAsia="Arial" w:hAnsi="Arial"/>
          <w:sz w:val="20"/>
          <w:szCs w:val="20"/>
          <w:color w:val="auto"/>
        </w:rPr>
      </w:pPr>
      <w:r>
        <w:rPr>
          <w:rFonts w:ascii="Arial" w:cs="Arial" w:eastAsia="Arial" w:hAnsi="Arial"/>
          <w:sz w:val="20"/>
          <w:szCs w:val="20"/>
          <w:color w:val="auto"/>
        </w:rPr>
        <w:t>Employee acknowledges that the provisions of the Restrictive Covenant Agreements that are designed to survive the termination of Employee’s employment shall survive in full force and effect for the applicable periods contained therein. For the avoidance of doubt, such provisions of the Restrictive Covenant Agreements that shall survive the termination of the Employee’s employment include, without limitation, Section 1 (Confidential Information), Section 2 (Developments), Section 3 (Returning Company Documents and Equipment) and Section 4 (Restrictions on Interfering) (collectively, the “Post-Employment Restrictive Covenants”).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55"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Return of Physical Property by Employee</w:t>
      </w:r>
    </w:p>
    <w:p>
      <w:pPr>
        <w:spacing w:after="0" w:line="202" w:lineRule="exact"/>
        <w:rPr>
          <w:rFonts w:ascii="Arial" w:cs="Arial" w:eastAsia="Arial" w:hAnsi="Arial"/>
          <w:sz w:val="20"/>
          <w:szCs w:val="20"/>
          <w:color w:val="auto"/>
        </w:rPr>
      </w:pPr>
    </w:p>
    <w:p>
      <w:pPr>
        <w:jc w:val="both"/>
        <w:ind w:left="760"/>
        <w:spacing w:after="0" w:line="237" w:lineRule="auto"/>
        <w:rPr>
          <w:rFonts w:ascii="Arial" w:cs="Arial" w:eastAsia="Arial" w:hAnsi="Arial"/>
          <w:sz w:val="20"/>
          <w:szCs w:val="20"/>
          <w:color w:val="auto"/>
        </w:rPr>
      </w:pPr>
      <w:r>
        <w:rPr>
          <w:rFonts w:ascii="Arial" w:cs="Arial" w:eastAsia="Arial" w:hAnsi="Arial"/>
          <w:sz w:val="20"/>
          <w:szCs w:val="20"/>
          <w:color w:val="auto"/>
        </w:rPr>
        <w:t>Employee acknowledges Employee’s immediate responsibility to fully and unconditionally return all tangible property of Hain to Hain on or before the Termination Date. Employee acknowledges that prior to Employee’s termination, Employee will not alter or remove any Hain related data or documents from any electronic property of the Company and Employee will return all electronic property in full working order.</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Nondisparagement</w:t>
      </w:r>
    </w:p>
    <w:p>
      <w:pPr>
        <w:spacing w:after="0" w:line="202" w:lineRule="exact"/>
        <w:rPr>
          <w:rFonts w:ascii="Arial" w:cs="Arial" w:eastAsia="Arial" w:hAnsi="Arial"/>
          <w:sz w:val="20"/>
          <w:szCs w:val="20"/>
          <w:color w:val="auto"/>
        </w:rPr>
      </w:pPr>
    </w:p>
    <w:p>
      <w:pPr>
        <w:jc w:val="both"/>
        <w:ind w:left="760"/>
        <w:spacing w:after="0" w:line="231" w:lineRule="auto"/>
        <w:rPr>
          <w:rFonts w:ascii="Arial" w:cs="Arial" w:eastAsia="Arial" w:hAnsi="Arial"/>
          <w:sz w:val="20"/>
          <w:szCs w:val="20"/>
          <w:color w:val="auto"/>
        </w:rPr>
      </w:pPr>
      <w:r>
        <w:rPr>
          <w:rFonts w:ascii="Arial" w:cs="Arial" w:eastAsia="Arial" w:hAnsi="Arial"/>
          <w:sz w:val="20"/>
          <w:szCs w:val="20"/>
          <w:color w:val="auto"/>
        </w:rPr>
        <w:t>Employee agrees to refrain from any defamation, libel or slander of Hain or any of the Releasees to any person or entity including but not limited to Hain’s past, present or future customers, employees, clients, contractors, vendors, or to the media or consumer packaged goods community via any form of communication including written, oral, or electronic. Employee also agrees not to publish, discuss or comment on any remarks related to Hain or any of the other Releasees in any forum, including the internet, any web site or blog. Further, Employee agrees to refrain from any tortious interference with Hain’s or the Releasees’ contracts and relationships. If Hain’s Human Resources representatives are contacted by any potential future employers of Employee for a reference, Hain’s Human Resources representative shall provide Employee’s dates of employment and last position at Hain.</w:t>
      </w:r>
    </w:p>
    <w:p>
      <w:pPr>
        <w:spacing w:after="0" w:line="173"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 Consideration Absent Execution of this Agreement</w:t>
      </w:r>
    </w:p>
    <w:p>
      <w:pPr>
        <w:spacing w:after="0" w:line="202" w:lineRule="exact"/>
        <w:rPr>
          <w:rFonts w:ascii="Arial" w:cs="Arial" w:eastAsia="Arial" w:hAnsi="Arial"/>
          <w:sz w:val="20"/>
          <w:szCs w:val="20"/>
          <w:color w:val="auto"/>
        </w:rPr>
      </w:pPr>
    </w:p>
    <w:p>
      <w:pPr>
        <w:jc w:val="both"/>
        <w:ind w:left="760"/>
        <w:spacing w:after="0" w:line="237" w:lineRule="auto"/>
        <w:rPr>
          <w:rFonts w:ascii="Arial" w:cs="Arial" w:eastAsia="Arial" w:hAnsi="Arial"/>
          <w:sz w:val="20"/>
          <w:szCs w:val="20"/>
          <w:color w:val="auto"/>
        </w:rPr>
      </w:pPr>
      <w:r>
        <w:rPr>
          <w:rFonts w:ascii="Arial" w:cs="Arial" w:eastAsia="Arial" w:hAnsi="Arial"/>
          <w:sz w:val="20"/>
          <w:szCs w:val="20"/>
          <w:color w:val="auto"/>
        </w:rPr>
        <w:t>Employee agrees and understands that the Company has no obligation to pay or provide (A) the severance payments provided by Section 2 hereof, (B) the accelerated vesting of unvested RSUs pursuant to the Make-Whole Restricted Share Unit Agreement, or (C) the benefits provided by Section 4 hereof unless Employee signs this Agreement and follows its terms.</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Entire Agreement and Severability</w:t>
      </w:r>
    </w:p>
    <w:p>
      <w:pPr>
        <w:spacing w:after="0" w:line="202" w:lineRule="exact"/>
        <w:rPr>
          <w:rFonts w:ascii="Arial" w:cs="Arial" w:eastAsia="Arial" w:hAnsi="Arial"/>
          <w:sz w:val="20"/>
          <w:szCs w:val="20"/>
          <w:color w:val="auto"/>
        </w:rPr>
      </w:pPr>
    </w:p>
    <w:p>
      <w:pPr>
        <w:jc w:val="both"/>
        <w:ind w:left="760"/>
        <w:spacing w:after="0" w:line="229" w:lineRule="auto"/>
        <w:rPr>
          <w:rFonts w:ascii="Arial" w:cs="Arial" w:eastAsia="Arial" w:hAnsi="Arial"/>
          <w:sz w:val="20"/>
          <w:szCs w:val="20"/>
          <w:color w:val="auto"/>
        </w:rPr>
      </w:pPr>
      <w:r>
        <w:rPr>
          <w:rFonts w:ascii="Arial" w:cs="Arial" w:eastAsia="Arial" w:hAnsi="Arial"/>
          <w:sz w:val="20"/>
          <w:szCs w:val="20"/>
          <w:color w:val="auto"/>
        </w:rPr>
        <w:t>The parties hereto agree that this Agreement may not be modified, altered or changed, except by a written agreement signed by the parties hereto. This Agreement represents the entire agreement and understanding between Hain and Employee concerning the subject matter of this Agreement and Employee's relationship with Hain, and supersedes and replaces any and all prior agreements and understandings between the parties concerning the subject matter of this Agreement and Employee's relationship with Hain, provided that as set forth in Sections 11 and 12 above, the provisions of the Restrictive Covenant Agreements that are designed to survive the termination of Employee’s employment, including without limitation the Post-Employment Restrictive Covenants, shall survive in full force and effect for the applicable periods contained therein. If any provision of this Agreement is held to be invalid, the court rendering that finding shall interpret or modify each such clause to be enforceable to fulfill the parties’ stated intent. If that cannot be done, such clause(s) shall be void and the remaining provisions shall remain in full force and effect. If any term or provision of this Agreement or the application thereof to Employee or circumstance shall to any extent be invalid or unenforceable, such provision will be modified, rewritten or interpreted by the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55" w:lineRule="exact"/>
        <w:rPr>
          <w:sz w:val="20"/>
          <w:szCs w:val="20"/>
          <w:color w:val="auto"/>
        </w:rPr>
      </w:pPr>
    </w:p>
    <w:p>
      <w:pPr>
        <w:ind w:left="760"/>
        <w:spacing w:after="0" w:line="257" w:lineRule="auto"/>
        <w:rPr>
          <w:sz w:val="20"/>
          <w:szCs w:val="20"/>
          <w:color w:val="auto"/>
        </w:rPr>
      </w:pPr>
      <w:r>
        <w:rPr>
          <w:rFonts w:ascii="Arial" w:cs="Arial" w:eastAsia="Arial" w:hAnsi="Arial"/>
          <w:sz w:val="20"/>
          <w:szCs w:val="20"/>
          <w:color w:val="auto"/>
        </w:rPr>
        <w:t>parties to include as much of its nature and scope as will render it enforceable. Otherwise, Hain shall be entitled to the return of the entire consideration under this Agreement.</w:t>
      </w:r>
    </w:p>
    <w:p>
      <w:pPr>
        <w:spacing w:after="0" w:line="155"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Breach of Agreement or Post-Employment Restrictive Covenants</w:t>
      </w:r>
    </w:p>
    <w:p>
      <w:pPr>
        <w:spacing w:after="0" w:line="202" w:lineRule="exact"/>
        <w:rPr>
          <w:rFonts w:ascii="Arial" w:cs="Arial" w:eastAsia="Arial" w:hAnsi="Arial"/>
          <w:sz w:val="20"/>
          <w:szCs w:val="20"/>
          <w:color w:val="auto"/>
        </w:rPr>
      </w:pPr>
    </w:p>
    <w:p>
      <w:pPr>
        <w:jc w:val="both"/>
        <w:ind w:left="760"/>
        <w:spacing w:after="0" w:line="233" w:lineRule="auto"/>
        <w:rPr>
          <w:rFonts w:ascii="Arial" w:cs="Arial" w:eastAsia="Arial" w:hAnsi="Arial"/>
          <w:sz w:val="20"/>
          <w:szCs w:val="20"/>
          <w:color w:val="auto"/>
        </w:rPr>
      </w:pPr>
      <w:r>
        <w:rPr>
          <w:rFonts w:ascii="Arial" w:cs="Arial" w:eastAsia="Arial" w:hAnsi="Arial"/>
          <w:sz w:val="20"/>
          <w:szCs w:val="20"/>
          <w:color w:val="auto"/>
        </w:rPr>
        <w:t>Employee acknowledges and agrees that should Employee breach this Agreement or the Post-Employment Restrictive Covenants, the Company shall be entitled immediately to recover 95% of the severance payments, other payments and benefits set forth in Section 2, Section 3, and Section 4 already provided and to cease any outstanding consideration without impacting Employee’s release of claims and other obligations hereunder, without limitation to any other remedies, including equitable remedies. In addition, Hain shall be entitled to recover its costs and fees, including reasonable attorneys’ fees, incurred in the successful enforcement of any such relief.</w:t>
      </w:r>
    </w:p>
    <w:p>
      <w:pPr>
        <w:spacing w:after="0" w:line="172" w:lineRule="exact"/>
        <w:rPr>
          <w:rFonts w:ascii="Arial" w:cs="Arial" w:eastAsia="Arial" w:hAnsi="Arial"/>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Resolution of Disputes/Waiver of Jury Trial</w:t>
      </w:r>
    </w:p>
    <w:p>
      <w:pPr>
        <w:spacing w:after="0" w:line="202" w:lineRule="exact"/>
        <w:rPr>
          <w:rFonts w:ascii="Arial" w:cs="Arial" w:eastAsia="Arial" w:hAnsi="Arial"/>
          <w:sz w:val="20"/>
          <w:szCs w:val="20"/>
          <w:color w:val="auto"/>
        </w:rPr>
      </w:pPr>
    </w:p>
    <w:p>
      <w:pPr>
        <w:jc w:val="both"/>
        <w:ind w:left="760"/>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Any controversy or claim arising out of this Agreement, or the breach thereof, shall be decided by an appropriate state or federal court nearest to Hain’s corporate headquarters, </w:t>
      </w:r>
      <w:r>
        <w:rPr>
          <w:rFonts w:ascii="Arial" w:cs="Arial" w:eastAsia="Arial" w:hAnsi="Arial"/>
          <w:sz w:val="20"/>
          <w:szCs w:val="20"/>
          <w:b w:val="1"/>
          <w:bCs w:val="1"/>
          <w:color w:val="auto"/>
        </w:rPr>
        <w:t>and all such claims shall be adjudicated by a judge</w:t>
      </w:r>
      <w:r>
        <w:rPr>
          <w:rFonts w:ascii="Arial" w:cs="Arial" w:eastAsia="Arial" w:hAnsi="Arial"/>
          <w:sz w:val="20"/>
          <w:szCs w:val="20"/>
          <w:color w:val="auto"/>
        </w:rPr>
        <w:t xml:space="preserve"> </w:t>
      </w:r>
      <w:r>
        <w:rPr>
          <w:rFonts w:ascii="Arial" w:cs="Arial" w:eastAsia="Arial" w:hAnsi="Arial"/>
          <w:sz w:val="20"/>
          <w:szCs w:val="20"/>
          <w:b w:val="1"/>
          <w:bCs w:val="1"/>
          <w:color w:val="auto"/>
        </w:rPr>
        <w:t>sitting without a jury.</w:t>
      </w:r>
    </w:p>
    <w:p>
      <w:pPr>
        <w:spacing w:after="0" w:line="156" w:lineRule="exact"/>
        <w:rPr>
          <w:rFonts w:ascii="Arial" w:cs="Arial" w:eastAsia="Arial" w:hAnsi="Arial"/>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Governing Law</w:t>
      </w:r>
    </w:p>
    <w:p>
      <w:pPr>
        <w:spacing w:after="0" w:line="202" w:lineRule="exact"/>
        <w:rPr>
          <w:rFonts w:ascii="Arial" w:cs="Arial" w:eastAsia="Arial" w:hAnsi="Arial"/>
          <w:sz w:val="20"/>
          <w:szCs w:val="20"/>
          <w:color w:val="auto"/>
        </w:rPr>
      </w:pPr>
    </w:p>
    <w:p>
      <w:pPr>
        <w:ind w:left="760"/>
        <w:spacing w:after="0"/>
        <w:rPr>
          <w:rFonts w:ascii="Arial" w:cs="Arial" w:eastAsia="Arial" w:hAnsi="Arial"/>
          <w:sz w:val="20"/>
          <w:szCs w:val="20"/>
          <w:color w:val="auto"/>
        </w:rPr>
      </w:pPr>
      <w:r>
        <w:rPr>
          <w:rFonts w:ascii="Arial" w:cs="Arial" w:eastAsia="Arial" w:hAnsi="Arial"/>
          <w:sz w:val="20"/>
          <w:szCs w:val="20"/>
          <w:color w:val="auto"/>
        </w:rPr>
        <w:t>This Agreement shall be governed by the laws of the State of Illinois, without regard for choice of law provisions.</w:t>
      </w:r>
    </w:p>
    <w:p>
      <w:pPr>
        <w:spacing w:after="0" w:line="202" w:lineRule="exact"/>
        <w:rPr>
          <w:rFonts w:ascii="Arial" w:cs="Arial" w:eastAsia="Arial" w:hAnsi="Arial"/>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Effective Date</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This Agreement is effective after it has been signed by both parties and after eight (8) days have passed following the date of Employee’s signature on the Agreement (the “Effective Date”). Any revocation prior to the eighth day after the date of Employee’s signature must be submitted, in writing, to Amber Jefferson, Chief People Officer, and state, “I hereby revoke my acceptance of our Separation Agreement and General Release.” The revocation must be delivered to Amber Jefferson and postmarked within seven (7) days of execution of this Agreement.</w:t>
      </w:r>
    </w:p>
    <w:p>
      <w:pPr>
        <w:spacing w:after="0" w:line="174" w:lineRule="exact"/>
        <w:rPr>
          <w:rFonts w:ascii="Arial" w:cs="Arial" w:eastAsia="Arial" w:hAnsi="Arial"/>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Capability to Waive Claims</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Employee is competent to effect a knowing and voluntary general and unlimited release of all claims and to enter into this Agreement. Employee is not affected or impaired in Employee’s ability voluntarily and knowingly to consider and to execute this Agreement, whether by illness, use of alcohol, drugs or other substances or conditions. Employee is not a party to any bankruptcy, lien, assignment, creditor-debtor or other proceeding which would impair the right to settle all claims against Hain or to waive all claims that Employee may have against Released Parties.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55"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Voluntary Execution</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Employee acknowledges that Employee has carefully read this Agreement and understands all of its terms including the general and final release of claims set forth above and covenant not to sue. Employee further acknowledges that Employee has voluntarily entered into this Agreement; that Employee has not relied upon any representation or statement, written or oral, not set forth in this Agreement; that the only consideration for signing this Agreement is as set forth herein; that the consideration received for executing this Agreement is greater than that to which Employee may otherwise be entitled; and that this document gives Employee the opportunity and encourages Employee to have this Agreement reviewed by Employee’s attorney and tax advisor.</w:t>
      </w:r>
    </w:p>
    <w:p>
      <w:pPr>
        <w:spacing w:after="0" w:line="169" w:lineRule="exact"/>
        <w:rPr>
          <w:rFonts w:ascii="Arial" w:cs="Arial" w:eastAsia="Arial" w:hAnsi="Arial"/>
          <w:sz w:val="20"/>
          <w:szCs w:val="20"/>
          <w:color w:val="auto"/>
        </w:rPr>
      </w:pPr>
    </w:p>
    <w:p>
      <w:pPr>
        <w:ind w:left="760"/>
        <w:spacing w:after="0" w:line="270" w:lineRule="auto"/>
        <w:rPr>
          <w:rFonts w:ascii="Arial" w:cs="Arial" w:eastAsia="Arial" w:hAnsi="Arial"/>
          <w:sz w:val="20"/>
          <w:szCs w:val="20"/>
          <w:color w:val="auto"/>
        </w:rPr>
      </w:pPr>
      <w:r>
        <w:rPr>
          <w:rFonts w:ascii="Arial" w:cs="Arial" w:eastAsia="Arial" w:hAnsi="Arial"/>
          <w:sz w:val="20"/>
          <w:szCs w:val="20"/>
          <w:b w:val="1"/>
          <w:bCs w:val="1"/>
          <w:color w:val="auto"/>
        </w:rPr>
        <w:t>EMPLOYEE HAS UP TO TWENTY-ONE (21) DAYS TO CONSIDER THIS AGREEMENT. EMPLOYEE ALSO IS ADVISED TO CONSULT WITH AN ATTORNEY PRIOR TO SIGNING THIS AGREEMENT.</w:t>
      </w:r>
    </w:p>
    <w:p>
      <w:pPr>
        <w:spacing w:after="0" w:line="130" w:lineRule="exact"/>
        <w:rPr>
          <w:rFonts w:ascii="Arial" w:cs="Arial" w:eastAsia="Arial" w:hAnsi="Arial"/>
          <w:sz w:val="20"/>
          <w:szCs w:val="20"/>
          <w:color w:val="auto"/>
        </w:rPr>
      </w:pPr>
    </w:p>
    <w:p>
      <w:pPr>
        <w:jc w:val="both"/>
        <w:ind w:left="760"/>
        <w:spacing w:after="0" w:line="247" w:lineRule="auto"/>
        <w:rPr>
          <w:rFonts w:ascii="Arial" w:cs="Arial" w:eastAsia="Arial" w:hAnsi="Arial"/>
          <w:sz w:val="20"/>
          <w:szCs w:val="20"/>
          <w:color w:val="auto"/>
        </w:rPr>
      </w:pPr>
      <w:r>
        <w:rPr>
          <w:rFonts w:ascii="Arial" w:cs="Arial" w:eastAsia="Arial" w:hAnsi="Arial"/>
          <w:sz w:val="20"/>
          <w:szCs w:val="20"/>
          <w:b w:val="1"/>
          <w:bCs w:val="1"/>
          <w:color w:val="auto"/>
        </w:rPr>
        <w:t>EMPLOYEE AGREES THAT ANY MODIFICATIONS, MATERIAL OR OTHERWISE, MADE TO THIS AGREEMENT, DO NOT RESTART OR AFFECT IN ANY MANNER THE ORIGINAL TWENTY-ONE (21) DAY CONSIDERATION PERIOD.</w:t>
      </w:r>
    </w:p>
    <w:p>
      <w:pPr>
        <w:spacing w:after="0" w:line="153" w:lineRule="exact"/>
        <w:rPr>
          <w:rFonts w:ascii="Arial" w:cs="Arial" w:eastAsia="Arial" w:hAnsi="Arial"/>
          <w:sz w:val="20"/>
          <w:szCs w:val="20"/>
          <w:color w:val="auto"/>
        </w:rPr>
      </w:pPr>
    </w:p>
    <w:p>
      <w:pPr>
        <w:jc w:val="both"/>
        <w:ind w:left="760"/>
        <w:spacing w:after="0" w:line="226" w:lineRule="auto"/>
        <w:rPr>
          <w:rFonts w:ascii="Arial" w:cs="Arial" w:eastAsia="Arial" w:hAnsi="Arial"/>
          <w:sz w:val="20"/>
          <w:szCs w:val="20"/>
          <w:color w:val="auto"/>
        </w:rPr>
      </w:pPr>
      <w:r>
        <w:rPr>
          <w:rFonts w:ascii="Arial" w:cs="Arial" w:eastAsia="Arial" w:hAnsi="Arial"/>
          <w:sz w:val="20"/>
          <w:szCs w:val="20"/>
          <w:b w:val="1"/>
          <w:bCs w:val="1"/>
          <w:color w:val="auto"/>
        </w:rPr>
        <w:t>EMPLOYEE MAY REVOKE THIS AGREEMENT DURING THE SEVEN (7) DAYS FOLLOWING THE DAY EMPLOYEE SIGNS THIS AGREEMENT. ANY REVOCATION WITHIN THIS PERIOD MUST BE SUBMITTED, IN WRITING, TO AMBER JEFFERSON, CHIEF PEOPLE OFFICER, AND STATE, "I HEREBY REVOKE MY ACCEPTANCE OF OUR SEPARATION AGREEMENT AND GENERAL RELEASE." THE REVOCATION MUST BE PERSONALLY DELIVERED TO AMBER JEFFERSON OR HER DESIGNEE, OR MAILED TO AMBER JEFFERSON AT THE HAIN CELESTIAL GROUP, INC., 221 RIVER STREET, 12</w:t>
      </w:r>
      <w:r>
        <w:rPr>
          <w:rFonts w:ascii="Arial" w:cs="Arial" w:eastAsia="Arial" w:hAnsi="Arial"/>
          <w:sz w:val="26"/>
          <w:szCs w:val="26"/>
          <w:b w:val="1"/>
          <w:bCs w:val="1"/>
          <w:color w:val="auto"/>
          <w:vertAlign w:val="superscript"/>
        </w:rPr>
        <w:t>TH</w:t>
      </w:r>
      <w:r>
        <w:rPr>
          <w:rFonts w:ascii="Arial" w:cs="Arial" w:eastAsia="Arial" w:hAnsi="Arial"/>
          <w:sz w:val="20"/>
          <w:szCs w:val="20"/>
          <w:b w:val="1"/>
          <w:bCs w:val="1"/>
          <w:color w:val="auto"/>
        </w:rPr>
        <w:t xml:space="preserve"> FLOOR, HOBOKEN, NEW JERSEY 07030 AND POSTMARKED WITHIN SEVEN (7) DAYS AFTER EMPLOYEE SIGNS THIS AGREEMENT.</w:t>
      </w:r>
    </w:p>
    <w:p>
      <w:pPr>
        <w:spacing w:after="0" w:line="160" w:lineRule="exact"/>
        <w:rPr>
          <w:rFonts w:ascii="Arial" w:cs="Arial" w:eastAsia="Arial" w:hAnsi="Arial"/>
          <w:sz w:val="20"/>
          <w:szCs w:val="20"/>
          <w:color w:val="auto"/>
        </w:rPr>
      </w:pPr>
    </w:p>
    <w:p>
      <w:pPr>
        <w:ind w:left="760"/>
        <w:spacing w:after="0" w:line="270" w:lineRule="auto"/>
        <w:rPr>
          <w:rFonts w:ascii="Arial" w:cs="Arial" w:eastAsia="Arial" w:hAnsi="Arial"/>
          <w:sz w:val="20"/>
          <w:szCs w:val="20"/>
          <w:color w:val="auto"/>
        </w:rPr>
      </w:pPr>
      <w:r>
        <w:rPr>
          <w:rFonts w:ascii="Arial" w:cs="Arial" w:eastAsia="Arial" w:hAnsi="Arial"/>
          <w:sz w:val="20"/>
          <w:szCs w:val="20"/>
          <w:b w:val="1"/>
          <w:bCs w:val="1"/>
          <w:color w:val="auto"/>
        </w:rPr>
        <w:t>EMPLOYEE FREELY AND KNOWINGLY, AND AFTER DUE CONSIDERATION, ENTERS INTO THIS AGREEMENT INTENDING TO WAIVE, SETTLE AND RELEASE ALL CLAIMS AGAINST HAIN AND RELEASEES.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5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parties knowingly and voluntarily sign this Agreement as of the date(s) set forth below:</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Arial" w:cs="Arial" w:eastAsia="Arial" w:hAnsi="Arial"/>
                <w:sz w:val="20"/>
                <w:szCs w:val="20"/>
                <w:color w:val="auto"/>
              </w:rPr>
              <w:t>THE HAIN CELESTIAL GROUP, INC.</w:t>
            </w:r>
          </w:p>
        </w:tc>
      </w:tr>
      <w:tr>
        <w:trPr>
          <w:trHeight w:val="840"/>
        </w:trPr>
        <w:tc>
          <w:tcPr>
            <w:tcW w:w="508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Chad Marquardt</w:t>
            </w:r>
          </w:p>
        </w:tc>
        <w:tc>
          <w:tcPr>
            <w:tcW w:w="740" w:type="dxa"/>
            <w:vAlign w:val="bottom"/>
          </w:tcPr>
          <w:p>
            <w:pPr>
              <w:ind w:left="80"/>
              <w:spacing w:after="0"/>
              <w:rPr>
                <w:sz w:val="20"/>
                <w:szCs w:val="20"/>
                <w:color w:val="auto"/>
              </w:rPr>
            </w:pPr>
            <w:r>
              <w:rPr>
                <w:rFonts w:ascii="Arial" w:cs="Arial" w:eastAsia="Arial" w:hAnsi="Arial"/>
                <w:sz w:val="20"/>
                <w:szCs w:val="20"/>
                <w:color w:val="auto"/>
              </w:rPr>
              <w:t>By:</w:t>
            </w:r>
          </w:p>
        </w:tc>
        <w:tc>
          <w:tcPr>
            <w:tcW w:w="5420" w:type="dxa"/>
            <w:vAlign w:val="bottom"/>
            <w:tcBorders>
              <w:bottom w:val="single" w:sz="8" w:color="auto"/>
            </w:tcBorders>
          </w:tcPr>
          <w:p>
            <w:pPr>
              <w:ind w:left="100"/>
              <w:spacing w:after="0"/>
              <w:rPr>
                <w:sz w:val="20"/>
                <w:szCs w:val="20"/>
                <w:color w:val="auto"/>
              </w:rPr>
            </w:pPr>
            <w:r>
              <w:rPr>
                <w:rFonts w:ascii="Arial" w:cs="Arial" w:eastAsia="Arial" w:hAnsi="Arial"/>
                <w:sz w:val="20"/>
                <w:szCs w:val="20"/>
                <w:color w:val="auto"/>
              </w:rPr>
              <w:t>/s/ Amber Jefferson</w:t>
            </w:r>
          </w:p>
        </w:tc>
      </w:tr>
      <w:tr>
        <w:trPr>
          <w:trHeight w:val="188"/>
        </w:trPr>
        <w:tc>
          <w:tcPr>
            <w:tcW w:w="5080" w:type="dxa"/>
            <w:vAlign w:val="bottom"/>
          </w:tcPr>
          <w:p>
            <w:pPr>
              <w:ind w:left="100"/>
              <w:spacing w:after="0" w:line="188" w:lineRule="exact"/>
              <w:rPr>
                <w:sz w:val="20"/>
                <w:szCs w:val="20"/>
                <w:color w:val="auto"/>
              </w:rPr>
            </w:pPr>
            <w:r>
              <w:rPr>
                <w:rFonts w:ascii="Arial" w:cs="Arial" w:eastAsia="Arial" w:hAnsi="Arial"/>
                <w:sz w:val="20"/>
                <w:szCs w:val="20"/>
                <w:color w:val="auto"/>
              </w:rPr>
              <w:t>Chad Marquardt</w:t>
            </w:r>
          </w:p>
        </w:tc>
        <w:tc>
          <w:tcPr>
            <w:tcW w:w="740" w:type="dxa"/>
            <w:vAlign w:val="bottom"/>
          </w:tcPr>
          <w:p>
            <w:pPr>
              <w:spacing w:after="0"/>
              <w:rPr>
                <w:sz w:val="16"/>
                <w:szCs w:val="16"/>
                <w:color w:val="auto"/>
              </w:rPr>
            </w:pPr>
          </w:p>
        </w:tc>
        <w:tc>
          <w:tcPr>
            <w:tcW w:w="5420" w:type="dxa"/>
            <w:vAlign w:val="bottom"/>
          </w:tcPr>
          <w:p>
            <w:pPr>
              <w:ind w:left="100"/>
              <w:spacing w:after="0" w:line="188" w:lineRule="exact"/>
              <w:rPr>
                <w:sz w:val="20"/>
                <w:szCs w:val="20"/>
                <w:color w:val="auto"/>
              </w:rPr>
            </w:pPr>
            <w:r>
              <w:rPr>
                <w:rFonts w:ascii="Arial" w:cs="Arial" w:eastAsia="Arial" w:hAnsi="Arial"/>
                <w:sz w:val="20"/>
                <w:szCs w:val="20"/>
                <w:color w:val="auto"/>
              </w:rPr>
              <w:t>Amber Jefferson</w:t>
            </w:r>
          </w:p>
        </w:tc>
      </w:tr>
      <w:tr>
        <w:trPr>
          <w:trHeight w:val="261"/>
        </w:trPr>
        <w:tc>
          <w:tcPr>
            <w:tcW w:w="5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420" w:type="dxa"/>
            <w:vAlign w:val="bottom"/>
          </w:tcPr>
          <w:p>
            <w:pPr>
              <w:ind w:left="100"/>
              <w:spacing w:after="0"/>
              <w:rPr>
                <w:sz w:val="20"/>
                <w:szCs w:val="20"/>
                <w:color w:val="auto"/>
              </w:rPr>
            </w:pPr>
            <w:r>
              <w:rPr>
                <w:rFonts w:ascii="Arial" w:cs="Arial" w:eastAsia="Arial" w:hAnsi="Arial"/>
                <w:sz w:val="20"/>
                <w:szCs w:val="20"/>
                <w:color w:val="auto"/>
              </w:rPr>
              <w:t>Chief People Officer</w:t>
            </w:r>
          </w:p>
        </w:tc>
      </w:tr>
      <w:tr>
        <w:trPr>
          <w:trHeight w:val="472"/>
        </w:trPr>
        <w:tc>
          <w:tcPr>
            <w:tcW w:w="5080" w:type="dxa"/>
            <w:vAlign w:val="bottom"/>
          </w:tcPr>
          <w:p>
            <w:pPr>
              <w:ind w:left="100"/>
              <w:spacing w:after="0"/>
              <w:rPr>
                <w:sz w:val="20"/>
                <w:szCs w:val="20"/>
                <w:color w:val="auto"/>
              </w:rPr>
            </w:pPr>
            <w:r>
              <w:rPr>
                <w:rFonts w:ascii="Arial" w:cs="Arial" w:eastAsia="Arial" w:hAnsi="Arial"/>
                <w:sz w:val="20"/>
                <w:szCs w:val="20"/>
                <w:color w:val="auto"/>
              </w:rPr>
              <w:t>Date: 06-Aug-2025 ǀ 8:02 AM PDT</w:t>
            </w:r>
          </w:p>
        </w:tc>
        <w:tc>
          <w:tcPr>
            <w:tcW w:w="740" w:type="dxa"/>
            <w:vAlign w:val="bottom"/>
          </w:tcPr>
          <w:p>
            <w:pPr>
              <w:spacing w:after="0"/>
              <w:rPr>
                <w:sz w:val="24"/>
                <w:szCs w:val="24"/>
                <w:color w:val="auto"/>
              </w:rPr>
            </w:pPr>
          </w:p>
        </w:tc>
        <w:tc>
          <w:tcPr>
            <w:tcW w:w="5420" w:type="dxa"/>
            <w:vAlign w:val="bottom"/>
          </w:tcPr>
          <w:p>
            <w:pPr>
              <w:ind w:left="100"/>
              <w:spacing w:after="0"/>
              <w:rPr>
                <w:sz w:val="20"/>
                <w:szCs w:val="20"/>
                <w:color w:val="auto"/>
              </w:rPr>
            </w:pPr>
            <w:r>
              <w:rPr>
                <w:rFonts w:ascii="Arial" w:cs="Arial" w:eastAsia="Arial" w:hAnsi="Arial"/>
                <w:sz w:val="20"/>
                <w:szCs w:val="20"/>
                <w:color w:val="auto"/>
              </w:rPr>
              <w:t>Date: 13-Aug-2025 ǀ 3:13 PM PDT</w:t>
            </w:r>
          </w:p>
        </w:tc>
      </w:tr>
      <w:tr>
        <w:trPr>
          <w:trHeight w:val="1442"/>
        </w:trPr>
        <w:tc>
          <w:tcPr>
            <w:tcW w:w="50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CREDIT AGREEMENT</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THIRD AMENDMENT TO CREDIT AGREEMENT</w:t>
      </w:r>
      <w:r>
        <w:rPr>
          <w:rFonts w:ascii="Times New Roman" w:cs="Times New Roman" w:eastAsia="Times New Roman" w:hAnsi="Times New Roman"/>
          <w:sz w:val="20"/>
          <w:szCs w:val="20"/>
          <w:color w:val="auto"/>
        </w:rPr>
        <w:t>, dated as of May 5,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by and among </w:t>
      </w:r>
      <w:r>
        <w:rPr>
          <w:rFonts w:ascii="Times New Roman" w:cs="Times New Roman" w:eastAsia="Times New Roman" w:hAnsi="Times New Roman"/>
          <w:sz w:val="20"/>
          <w:szCs w:val="20"/>
          <w:b w:val="1"/>
          <w:bCs w:val="1"/>
          <w:color w:val="auto"/>
        </w:rPr>
        <w:t>THE HAIN CELESTIAL GROUP,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each Lender party hereto and</w:t>
      </w:r>
      <w:r>
        <w:rPr>
          <w:rFonts w:ascii="Times New Roman" w:cs="Times New Roman" w:eastAsia="Times New Roman" w:hAnsi="Times New Roman"/>
          <w:sz w:val="20"/>
          <w:szCs w:val="20"/>
          <w:b w:val="1"/>
          <w:bCs w:val="1"/>
          <w:color w:val="auto"/>
        </w:rPr>
        <w:t xml:space="preserve"> BANK OF AMERICA, N.A.</w:t>
      </w:r>
      <w:r>
        <w:rPr>
          <w:rFonts w:ascii="Times New Roman" w:cs="Times New Roman" w:eastAsia="Times New Roman" w:hAnsi="Times New Roman"/>
          <w:sz w:val="20"/>
          <w:szCs w:val="20"/>
          <w:color w:val="auto"/>
        </w:rPr>
        <w:t>, as Administrative Agent. Capitalized terms used herein and not otherwise defined herein shall have the meanings ascribed thereto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each Subsidiary of the Company from time to time party thereto as a Designated Borrower, each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party thereto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the Administrative Agent are parties to that certain Fourth Amended and Restated Credit Agreement, dated as of December 22, 2021, as (i) amended by (x) that certain First Amendment to Credit Agreement, dated as of December 16, 2022 and (y) that certain Second Amendment to Credit Agreement, dated as of August 22, 2023, (ii) modified by that certain Suspension of Rights Agreement, dated as of June 26, 2024, whereby the Company agreed CDOR would no longer be a borrowing option under and pursuant to the Credit Agreement (as further amended, restated, amended and restated, supplemented, extended,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requested that the Required Lenders amend certain provisions of the Credit Agreement; and</w:t>
      </w:r>
    </w:p>
    <w:p>
      <w:pPr>
        <w:spacing w:after="0" w:line="22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Required Lenders are willing to amend the Credit Agreement in accordance with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herein.</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agreements hereinafter set forth, and for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adequacy of which are hereby acknowledged, the parties hereto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CREDIT AGREEMENT</w:t>
      </w: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010000"/>
        </w:rPr>
        <w:t xml:space="preserve">1.1 </w:t>
      </w:r>
      <w:r>
        <w:rPr>
          <w:rFonts w:ascii="Times New Roman" w:cs="Times New Roman" w:eastAsia="Times New Roman" w:hAnsi="Times New Roman"/>
          <w:sz w:val="20"/>
          <w:szCs w:val="20"/>
          <w:color w:val="000000"/>
        </w:rPr>
        <w:t>Section 1.01 of the Credit Agreement is hereby amended by amending and restating the defined term “Applicable Rate” to read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as follows:</w:t>
      </w:r>
    </w:p>
    <w:p>
      <w:pPr>
        <w:spacing w:after="0" w:line="178" w:lineRule="exact"/>
        <w:rPr>
          <w:sz w:val="20"/>
          <w:szCs w:val="20"/>
          <w:color w:val="auto"/>
        </w:rPr>
      </w:pPr>
    </w:p>
    <w:p>
      <w:pPr>
        <w:jc w:val="both"/>
        <w:ind w:left="760" w:right="740" w:firstLine="695"/>
        <w:spacing w:after="0" w:line="256"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Applicable Rate</w:t>
      </w:r>
      <w:r>
        <w:rPr>
          <w:rFonts w:ascii="Times New Roman" w:cs="Times New Roman" w:eastAsia="Times New Roman" w:hAnsi="Times New Roman"/>
          <w:sz w:val="20"/>
          <w:szCs w:val="20"/>
          <w:i w:val="1"/>
          <w:iCs w:val="1"/>
          <w:color w:val="auto"/>
        </w:rPr>
        <w:t>” means, in respect of each Facility, a rate per annum equal to (i) 3.00% in respect of Term SOFR Loans, Alternative Currency Loans, Global Swing Line Loans and Letters of Credit, (ii) 2.00% in respect of Base Rate Loans and (iii) 0.250% in respect of the Commitment Fee.</w:t>
      </w:r>
    </w:p>
    <w:p>
      <w:pPr>
        <w:spacing w:after="0" w:line="169"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1.2 </w:t>
      </w:r>
      <w:r>
        <w:rPr>
          <w:rFonts w:ascii="Times New Roman" w:cs="Times New Roman" w:eastAsia="Times New Roman" w:hAnsi="Times New Roman"/>
          <w:sz w:val="20"/>
          <w:szCs w:val="20"/>
          <w:color w:val="000000"/>
        </w:rPr>
        <w:t>Section 1.01 of the Credit Agreement is hereby amended by amending and restating the defined term “Global Revolving Credit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Facility” to read as follows:</w:t>
      </w:r>
    </w:p>
    <w:p>
      <w:pPr>
        <w:spacing w:after="0" w:line="152" w:lineRule="exact"/>
        <w:rPr>
          <w:sz w:val="20"/>
          <w:szCs w:val="20"/>
          <w:color w:val="auto"/>
        </w:rPr>
      </w:pPr>
    </w:p>
    <w:p>
      <w:pPr>
        <w:jc w:val="both"/>
        <w:ind w:left="760" w:right="740" w:firstLine="695"/>
        <w:spacing w:after="0" w:line="247"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Global Revolving Credit Facility</w:t>
      </w:r>
      <w:r>
        <w:rPr>
          <w:rFonts w:ascii="Times New Roman" w:cs="Times New Roman" w:eastAsia="Times New Roman" w:hAnsi="Times New Roman"/>
          <w:sz w:val="20"/>
          <w:szCs w:val="20"/>
          <w:i w:val="1"/>
          <w:iCs w:val="1"/>
          <w:color w:val="auto"/>
        </w:rPr>
        <w:t>” means, at any time, the aggregate amount of the Global Revolving Credit Lenders’ Global Revolving Credit Commitments at such time. As of the Closing Date, the Global Revolving Credit Facility is $360,000,000 (or, as applicable, the Alternative Currency Equivalent thereof); from and after the Third Amendment Effective Date, the Global Revolving Credit Facility is $315,000,000 (or, as applicable, the Alternative Currency Equivalent thereof).</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1.3 </w:t>
      </w:r>
      <w:r>
        <w:rPr>
          <w:rFonts w:ascii="Times New Roman" w:cs="Times New Roman" w:eastAsia="Times New Roman" w:hAnsi="Times New Roman"/>
          <w:sz w:val="20"/>
          <w:szCs w:val="20"/>
          <w:color w:val="000000"/>
        </w:rPr>
        <w:t>Section 1.01 of the Credit Agreement is hereby amended by deleting the definitions of “Limited Condition Acquisition”,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“Limited Condition Acquisition Agreement”, “Relief Period”, “Relief Period Termination Date” and “Specified Acceptable Acquisition”.</w:t>
      </w:r>
    </w:p>
    <w:p>
      <w:pPr>
        <w:spacing w:after="0" w:line="152"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1.4 </w:t>
      </w:r>
      <w:r>
        <w:rPr>
          <w:rFonts w:ascii="Times New Roman" w:cs="Times New Roman" w:eastAsia="Times New Roman" w:hAnsi="Times New Roman"/>
          <w:sz w:val="20"/>
          <w:szCs w:val="20"/>
          <w:color w:val="000000"/>
        </w:rPr>
        <w:t>Section 1.01 of the Credit Agreement is hereby amended by inserting the defined term “Third Amendment Effective Date” in</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appropriate alphabetical order to read as follows:</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Third Amendment Effective Date</w:t>
      </w:r>
      <w:r>
        <w:rPr>
          <w:rFonts w:ascii="Times New Roman" w:cs="Times New Roman" w:eastAsia="Times New Roman" w:hAnsi="Times New Roman"/>
          <w:sz w:val="20"/>
          <w:szCs w:val="20"/>
          <w:i w:val="1"/>
          <w:iCs w:val="1"/>
          <w:color w:val="auto"/>
        </w:rPr>
        <w:t>” means May 5, 2025.</w:t>
      </w:r>
    </w:p>
    <w:p>
      <w:pPr>
        <w:spacing w:after="0" w:line="216" w:lineRule="exact"/>
        <w:rPr>
          <w:sz w:val="20"/>
          <w:szCs w:val="20"/>
          <w:color w:val="auto"/>
        </w:rPr>
      </w:pPr>
    </w:p>
    <w:p>
      <w:pPr>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1.5 </w:t>
      </w:r>
      <w:r>
        <w:rPr>
          <w:rFonts w:ascii="Times New Roman" w:cs="Times New Roman" w:eastAsia="Times New Roman" w:hAnsi="Times New Roman"/>
          <w:sz w:val="20"/>
          <w:szCs w:val="20"/>
          <w:color w:val="000000"/>
        </w:rPr>
        <w:t>Section 1.01 of the Credit Agreement is hereby amended by amending and restating the defined term “U.S. Revolving Credit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Facility” to read as follows:</w:t>
      </w:r>
    </w:p>
    <w:p>
      <w:pPr>
        <w:spacing w:after="0" w:line="152" w:lineRule="exact"/>
        <w:rPr>
          <w:sz w:val="20"/>
          <w:szCs w:val="20"/>
          <w:color w:val="auto"/>
        </w:rPr>
      </w:pPr>
    </w:p>
    <w:p>
      <w:pPr>
        <w:jc w:val="both"/>
        <w:ind w:left="760" w:right="760" w:firstLine="695"/>
        <w:spacing w:after="0" w:line="256" w:lineRule="auto"/>
        <w:rPr>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i w:val="1"/>
          <w:iCs w:val="1"/>
          <w:u w:val="single" w:color="auto"/>
          <w:color w:val="auto"/>
        </w:rPr>
        <w:t>U.S. Revolving Credit Facility</w:t>
      </w:r>
      <w:r>
        <w:rPr>
          <w:rFonts w:ascii="Times New Roman" w:cs="Times New Roman" w:eastAsia="Times New Roman" w:hAnsi="Times New Roman"/>
          <w:sz w:val="20"/>
          <w:szCs w:val="20"/>
          <w:i w:val="1"/>
          <w:iCs w:val="1"/>
          <w:color w:val="auto"/>
        </w:rPr>
        <w:t>” means, at any time, the aggregate amount of the U.S. Revolving Credit Lenders’ U.S. Revolving Credit Commitments at such time. As of the Closing Date, the U.S. Revolving Credit Facility is $440,000,000; from and after the Third Amendment Effective Date, the U.S. Revolving Credit Facility is $385,000,000.</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1.6 </w:t>
      </w:r>
      <w:r>
        <w:rPr>
          <w:rFonts w:ascii="Times New Roman" w:cs="Times New Roman" w:eastAsia="Times New Roman" w:hAnsi="Times New Roman"/>
          <w:sz w:val="20"/>
          <w:szCs w:val="20"/>
          <w:color w:val="000000"/>
        </w:rPr>
        <w:t>The Credit Agreement is hereby amended by deleting Section 1.10 of the Credit Agreement in its entirety.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1.7 </w:t>
      </w:r>
      <w:r>
        <w:rPr>
          <w:rFonts w:ascii="Times New Roman" w:cs="Times New Roman" w:eastAsia="Times New Roman" w:hAnsi="Times New Roman"/>
          <w:sz w:val="20"/>
          <w:szCs w:val="20"/>
          <w:color w:val="000000"/>
        </w:rPr>
        <w:t>Section 2.05(b)(iii) of the Credit Agreement is hereby amended and restated in its entirety to read as follows:</w:t>
      </w:r>
    </w:p>
    <w:p>
      <w:pPr>
        <w:spacing w:after="0" w:line="216" w:lineRule="exact"/>
        <w:rPr>
          <w:sz w:val="20"/>
          <w:szCs w:val="20"/>
          <w:color w:val="auto"/>
        </w:rPr>
      </w:pPr>
    </w:p>
    <w:p>
      <w:pPr>
        <w:jc w:val="both"/>
        <w:ind w:left="760" w:right="760" w:firstLine="692"/>
        <w:spacing w:after="0" w:line="246" w:lineRule="auto"/>
        <w:tabs>
          <w:tab w:leader="none" w:pos="1851" w:val="left"/>
        </w:tabs>
        <w:numPr>
          <w:ilvl w:val="0"/>
          <w:numId w:val="63"/>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If, within five (5) Business Days following any Disposition of property by any Loan Party permitted by </w:t>
      </w:r>
      <w:r>
        <w:rPr>
          <w:rFonts w:ascii="Times New Roman" w:cs="Times New Roman" w:eastAsia="Times New Roman" w:hAnsi="Times New Roman"/>
          <w:sz w:val="20"/>
          <w:szCs w:val="20"/>
          <w:i w:val="1"/>
          <w:iCs w:val="1"/>
          <w:u w:val="single" w:color="auto"/>
          <w:color w:val="auto"/>
        </w:rPr>
        <w:t>Section 7.05(f)</w:t>
      </w:r>
      <w:r>
        <w:rPr>
          <w:rFonts w:ascii="Times New Roman" w:cs="Times New Roman" w:eastAsia="Times New Roman" w:hAnsi="Times New Roman"/>
          <w:sz w:val="20"/>
          <w:szCs w:val="20"/>
          <w:i w:val="1"/>
          <w:iCs w:val="1"/>
          <w:color w:val="auto"/>
        </w:rPr>
        <w:t>, Consolidated Leverage Ratio, after giving pro forma effect to such Disposition, is greater than 4.00:1.00 and, so long as no Specified Event of Default exists, to the extent the Net Cash Proceeds in respect of such Disposition (or series of related Dispositions) are in excess of $250,000, the Borrowers shall prepay an aggregate principal amount of Loans equal to 75% of such Net Cash Proceeds immediately upon receipt thereof by such Person (such prepayments to be applied as set forth in clause (iv) below).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1.8 </w:t>
      </w:r>
      <w:r>
        <w:rPr>
          <w:rFonts w:ascii="Times New Roman" w:cs="Times New Roman" w:eastAsia="Times New Roman" w:hAnsi="Times New Roman"/>
          <w:sz w:val="20"/>
          <w:szCs w:val="20"/>
          <w:color w:val="000000"/>
        </w:rPr>
        <w:t>Section 2.05(b)(v) of the Credit Agreement is hereby amended and restated in its entirety to read as follows:</w:t>
      </w:r>
    </w:p>
    <w:p>
      <w:pPr>
        <w:spacing w:after="0" w:line="216" w:lineRule="exact"/>
        <w:rPr>
          <w:sz w:val="20"/>
          <w:szCs w:val="20"/>
          <w:color w:val="auto"/>
        </w:rPr>
      </w:pPr>
    </w:p>
    <w:p>
      <w:pPr>
        <w:jc w:val="both"/>
        <w:ind w:left="760" w:right="740" w:firstLine="692"/>
        <w:spacing w:after="0" w:line="256" w:lineRule="auto"/>
        <w:tabs>
          <w:tab w:leader="none" w:pos="1851" w:val="left"/>
        </w:tabs>
        <w:numPr>
          <w:ilvl w:val="0"/>
          <w:numId w:val="64"/>
        </w:numPr>
        <w:rPr>
          <w:rFonts w:ascii="Times New Roman" w:cs="Times New Roman" w:eastAsia="Times New Roman" w:hAnsi="Times New Roman"/>
          <w:sz w:val="19"/>
          <w:szCs w:val="19"/>
          <w:i w:val="1"/>
          <w:iCs w:val="1"/>
          <w:color w:val="auto"/>
        </w:rPr>
      </w:pPr>
      <w:r>
        <w:rPr>
          <w:rFonts w:ascii="Times New Roman" w:cs="Times New Roman" w:eastAsia="Times New Roman" w:hAnsi="Times New Roman"/>
          <w:sz w:val="19"/>
          <w:szCs w:val="19"/>
          <w:i w:val="1"/>
          <w:iCs w:val="1"/>
          <w:color w:val="auto"/>
        </w:rPr>
        <w:t>Notwithstanding any of the other provisions of clause (iii) of this Section 2.05(b), so long as no Specified Event of Default shall have occurred and be continuing if, on any date on which a prepayment would otherwise be required to be made pursuant to clause (iii) of this Section 2.05(b), the aggregate amount of Net Cash Proceeds received from and after the Third Amendment Effective Date required by such clause to be applied to prepay Loans on such date is less than or equal to $2,500,000, the Company may defer such prepayment until the first date on which the aggregate amount of Net Cash Proceeds or other amounts received from and after the Third Amendment Effective Date and otherwise required under clause (iii) of this Section 2.05(b) to be applied to prepay Loans exceeds $2,500,000. During such deferral period the Company may apply all or any part of such aggregate amount to prepay Revolving Loans and may, subject to the fulfillment of the applicable conditions set forth in Article IV, reborrow such amounts (which amounts, to the extent originally constituting Net Cash Proceeds, shall be deemed to retain their original character as Net Cash Proceeds when so reborrowed) for application as required by this Section 2.05(b). Upon the occurrence of a Specified Event of Default during any such deferral period, the Company shall immediately prepay the Loans in the amount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6" w:name="page137"/>
    <w:bookmarkEnd w:id="136"/>
    <w:p>
      <w:pPr>
        <w:jc w:val="both"/>
        <w:ind w:left="760" w:right="760"/>
        <w:spacing w:after="0" w:line="256" w:lineRule="auto"/>
        <w:rPr>
          <w:sz w:val="20"/>
          <w:szCs w:val="20"/>
          <w:color w:val="auto"/>
        </w:rPr>
      </w:pPr>
      <w:r>
        <w:rPr>
          <w:rFonts w:ascii="Times New Roman" w:cs="Times New Roman" w:eastAsia="Times New Roman" w:hAnsi="Times New Roman"/>
          <w:sz w:val="20"/>
          <w:szCs w:val="20"/>
          <w:i w:val="1"/>
          <w:iCs w:val="1"/>
          <w:color w:val="auto"/>
        </w:rPr>
        <w:t>all Net Cash Proceeds received by the applicable Loan Party and other amounts, as applicable, that are required to be applied to prepay Loans under this Section 2.05(b) (without giving effect to the first and second sentences of this clause (v)) but which have not previously been so applied.</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1.9 </w:t>
      </w:r>
      <w:r>
        <w:rPr>
          <w:rFonts w:ascii="Times New Roman" w:cs="Times New Roman" w:eastAsia="Times New Roman" w:hAnsi="Times New Roman"/>
          <w:sz w:val="20"/>
          <w:szCs w:val="20"/>
          <w:color w:val="000000"/>
        </w:rPr>
        <w:t>Section 7.06(d) of the Credit Agreement is hereby amended and restated in its entirety to read as follows:</w:t>
      </w:r>
    </w:p>
    <w:p>
      <w:pPr>
        <w:spacing w:after="0" w:line="216" w:lineRule="exact"/>
        <w:rPr>
          <w:sz w:val="20"/>
          <w:szCs w:val="20"/>
          <w:color w:val="auto"/>
        </w:rPr>
      </w:pPr>
    </w:p>
    <w:p>
      <w:pPr>
        <w:jc w:val="both"/>
        <w:ind w:left="760" w:right="760" w:firstLine="692"/>
        <w:spacing w:after="0" w:line="250" w:lineRule="auto"/>
        <w:tabs>
          <w:tab w:leader="none" w:pos="1851" w:val="left"/>
        </w:tabs>
        <w:numPr>
          <w:ilvl w:val="0"/>
          <w:numId w:val="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the Company may declare or pay cash dividends or other similar payments to its stockholders, or repurchase its Equity Interests, or make other Restricted Payments but only so long as, both before and after giving effect to the aggregate amount of such dividends and similar payments and repurchases and Restricted Payments paid or made, the Consolidated Secured Leverage Ratio would be less than 4.00:1.00.</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010000"/>
        </w:rPr>
        <w:t>1.10</w:t>
      </w:r>
      <w:r>
        <w:rPr>
          <w:rFonts w:ascii="Times New Roman" w:cs="Times New Roman" w:eastAsia="Times New Roman" w:hAnsi="Times New Roman"/>
          <w:sz w:val="20"/>
          <w:szCs w:val="20"/>
          <w:color w:val="000000"/>
        </w:rPr>
        <w:t>Section 7.11(b) of the Credit Agreement is hereby amended by amending and restating such Section to read as follows:</w:t>
      </w:r>
    </w:p>
    <w:p>
      <w:pPr>
        <w:spacing w:after="0" w:line="216" w:lineRule="exact"/>
        <w:rPr>
          <w:sz w:val="20"/>
          <w:szCs w:val="20"/>
          <w:color w:val="auto"/>
        </w:rPr>
      </w:pPr>
    </w:p>
    <w:p>
      <w:pPr>
        <w:jc w:val="both"/>
        <w:ind w:left="760" w:right="740" w:firstLine="692"/>
        <w:spacing w:after="0" w:line="256" w:lineRule="auto"/>
        <w:tabs>
          <w:tab w:leader="none" w:pos="1878" w:val="left"/>
        </w:tabs>
        <w:numPr>
          <w:ilvl w:val="0"/>
          <w:numId w:val="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u w:val="single" w:color="auto"/>
          <w:color w:val="auto"/>
        </w:rPr>
        <w:t>Consolidated Secured Leverage Ratio</w:t>
      </w:r>
      <w:r>
        <w:rPr>
          <w:rFonts w:ascii="Times New Roman" w:cs="Times New Roman" w:eastAsia="Times New Roman" w:hAnsi="Times New Roman"/>
          <w:sz w:val="20"/>
          <w:szCs w:val="20"/>
          <w:i w:val="1"/>
          <w:iCs w:val="1"/>
          <w:color w:val="auto"/>
        </w:rPr>
        <w:t>. From and after the Third Amendment Effective Date, permit the Consolidated Secured Leverage Ratio as of the end of any fiscal quarter of the Company to be greater than the ratio set forth below opposite such period:</w:t>
      </w:r>
    </w:p>
    <w:p>
      <w:pPr>
        <w:spacing w:after="0" w:line="172" w:lineRule="exact"/>
        <w:rPr>
          <w:sz w:val="20"/>
          <w:szCs w:val="20"/>
          <w:color w:val="auto"/>
        </w:rPr>
      </w:pPr>
    </w:p>
    <w:tbl>
      <w:tblPr>
        <w:tblLayout w:type="fixed"/>
        <w:tblInd w:w="1830" w:type="dxa"/>
        <w:tblCellMar>
          <w:top w:w="0" w:type="dxa"/>
          <w:left w:w="0" w:type="dxa"/>
          <w:bottom w:w="0" w:type="dxa"/>
          <w:right w:w="0" w:type="dxa"/>
        </w:tblCellMar>
      </w:tblPr>
      <w:tr>
        <w:trPr>
          <w:trHeight w:val="233"/>
        </w:trPr>
        <w:tc>
          <w:tcPr>
            <w:tcW w:w="4900" w:type="dxa"/>
            <w:vAlign w:val="bottom"/>
            <w:tcBorders>
              <w:top w:val="single" w:sz="8" w:color="auto"/>
              <w:left w:val="single" w:sz="8" w:color="auto"/>
              <w:right w:val="single" w:sz="8" w:color="auto"/>
            </w:tcBorders>
            <w:vMerge w:val="restart"/>
          </w:tcPr>
          <w:p>
            <w:pPr>
              <w:ind w:left="1820"/>
              <w:spacing w:after="0"/>
              <w:rPr>
                <w:sz w:val="20"/>
                <w:szCs w:val="20"/>
                <w:color w:val="auto"/>
              </w:rPr>
            </w:pPr>
            <w:r>
              <w:rPr>
                <w:rFonts w:ascii="Times New Roman" w:cs="Times New Roman" w:eastAsia="Times New Roman" w:hAnsi="Times New Roman"/>
                <w:sz w:val="20"/>
                <w:szCs w:val="20"/>
                <w:b w:val="1"/>
                <w:bCs w:val="1"/>
                <w:i w:val="1"/>
                <w:iCs w:val="1"/>
                <w:color w:val="auto"/>
              </w:rPr>
              <w:t>Fiscal Quarter</w:t>
            </w:r>
          </w:p>
        </w:tc>
        <w:tc>
          <w:tcPr>
            <w:tcW w:w="2740" w:type="dxa"/>
            <w:vAlign w:val="bottom"/>
            <w:tcBorders>
              <w:top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20"/>
                <w:szCs w:val="20"/>
                <w:b w:val="1"/>
                <w:bCs w:val="1"/>
                <w:i w:val="1"/>
                <w:iCs w:val="1"/>
                <w:color w:val="auto"/>
                <w:w w:val="99"/>
              </w:rPr>
              <w:t>Maximum Consolidated</w:t>
            </w:r>
          </w:p>
        </w:tc>
        <w:tc>
          <w:tcPr>
            <w:tcW w:w="0" w:type="dxa"/>
            <w:vAlign w:val="bottom"/>
          </w:tcPr>
          <w:p>
            <w:pPr>
              <w:spacing w:after="0"/>
              <w:rPr>
                <w:sz w:val="1"/>
                <w:szCs w:val="1"/>
                <w:color w:val="auto"/>
              </w:rPr>
            </w:pPr>
          </w:p>
        </w:tc>
      </w:tr>
      <w:tr>
        <w:trPr>
          <w:trHeight w:val="141"/>
        </w:trPr>
        <w:tc>
          <w:tcPr>
            <w:tcW w:w="4900" w:type="dxa"/>
            <w:vAlign w:val="bottom"/>
            <w:tcBorders>
              <w:left w:val="single" w:sz="8" w:color="auto"/>
              <w:right w:val="single" w:sz="8" w:color="auto"/>
            </w:tcBorders>
            <w:vMerge w:val="continue"/>
          </w:tcPr>
          <w:p>
            <w:pPr>
              <w:spacing w:after="0"/>
              <w:rPr>
                <w:sz w:val="12"/>
                <w:szCs w:val="12"/>
                <w:color w:val="auto"/>
              </w:rPr>
            </w:pPr>
          </w:p>
        </w:tc>
        <w:tc>
          <w:tcPr>
            <w:tcW w:w="2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8"/>
              </w:rPr>
              <w:t>Secured Leverage Ratio</w:t>
            </w:r>
          </w:p>
        </w:tc>
        <w:tc>
          <w:tcPr>
            <w:tcW w:w="0" w:type="dxa"/>
            <w:vAlign w:val="bottom"/>
          </w:tcPr>
          <w:p>
            <w:pPr>
              <w:spacing w:after="0"/>
              <w:rPr>
                <w:sz w:val="1"/>
                <w:szCs w:val="1"/>
                <w:color w:val="auto"/>
              </w:rPr>
            </w:pPr>
          </w:p>
        </w:tc>
      </w:tr>
      <w:tr>
        <w:trPr>
          <w:trHeight w:val="126"/>
        </w:trPr>
        <w:tc>
          <w:tcPr>
            <w:tcW w:w="4900" w:type="dxa"/>
            <w:vAlign w:val="bottom"/>
            <w:tcBorders>
              <w:left w:val="single" w:sz="8" w:color="auto"/>
              <w:bottom w:val="single" w:sz="8" w:color="auto"/>
              <w:right w:val="single" w:sz="8" w:color="auto"/>
            </w:tcBorders>
          </w:tcPr>
          <w:p>
            <w:pPr>
              <w:spacing w:after="0"/>
              <w:rPr>
                <w:sz w:val="10"/>
                <w:szCs w:val="10"/>
                <w:color w:val="auto"/>
              </w:rPr>
            </w:pPr>
          </w:p>
        </w:tc>
        <w:tc>
          <w:tcPr>
            <w:tcW w:w="27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900" w:type="dxa"/>
            <w:vAlign w:val="bottom"/>
            <w:tcBorders>
              <w:left w:val="single" w:sz="8" w:color="auto"/>
              <w:right w:val="single" w:sz="8" w:color="auto"/>
            </w:tcBorders>
          </w:tcPr>
          <w:p>
            <w:pPr>
              <w:ind w:left="100"/>
              <w:spacing w:after="0" w:line="213" w:lineRule="exact"/>
              <w:rPr>
                <w:sz w:val="20"/>
                <w:szCs w:val="20"/>
                <w:color w:val="auto"/>
              </w:rPr>
            </w:pPr>
            <w:r>
              <w:rPr>
                <w:rFonts w:ascii="Times New Roman" w:cs="Times New Roman" w:eastAsia="Times New Roman" w:hAnsi="Times New Roman"/>
                <w:sz w:val="20"/>
                <w:szCs w:val="20"/>
                <w:i w:val="1"/>
                <w:iCs w:val="1"/>
                <w:color w:val="auto"/>
              </w:rPr>
              <w:t>Ending June 30, 2025 through (and including) Fiscal</w:t>
            </w:r>
          </w:p>
        </w:tc>
        <w:tc>
          <w:tcPr>
            <w:tcW w:w="2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4.75:1.00</w:t>
            </w:r>
          </w:p>
        </w:tc>
        <w:tc>
          <w:tcPr>
            <w:tcW w:w="0" w:type="dxa"/>
            <w:vAlign w:val="bottom"/>
          </w:tcPr>
          <w:p>
            <w:pPr>
              <w:spacing w:after="0"/>
              <w:rPr>
                <w:sz w:val="1"/>
                <w:szCs w:val="1"/>
                <w:color w:val="auto"/>
              </w:rPr>
            </w:pPr>
          </w:p>
        </w:tc>
      </w:tr>
      <w:tr>
        <w:trPr>
          <w:trHeight w:val="154"/>
        </w:trPr>
        <w:tc>
          <w:tcPr>
            <w:tcW w:w="490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0"/>
                <w:szCs w:val="20"/>
                <w:i w:val="1"/>
                <w:iCs w:val="1"/>
                <w:color w:val="auto"/>
              </w:rPr>
              <w:t>Quarter Ending March 31, 2026</w:t>
            </w:r>
          </w:p>
        </w:tc>
        <w:tc>
          <w:tcPr>
            <w:tcW w:w="27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00" w:type="dxa"/>
            <w:vAlign w:val="bottom"/>
            <w:tcBorders>
              <w:left w:val="single" w:sz="8" w:color="auto"/>
              <w:right w:val="single" w:sz="8" w:color="auto"/>
            </w:tcBorders>
            <w:vMerge w:val="continue"/>
          </w:tcPr>
          <w:p>
            <w:pPr>
              <w:spacing w:after="0"/>
              <w:rPr>
                <w:sz w:val="9"/>
                <w:szCs w:val="9"/>
                <w:color w:val="auto"/>
              </w:rPr>
            </w:pPr>
          </w:p>
        </w:tc>
        <w:tc>
          <w:tcPr>
            <w:tcW w:w="2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4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4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Ending June 30, 2026</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4.50:1.00</w:t>
            </w:r>
          </w:p>
        </w:tc>
        <w:tc>
          <w:tcPr>
            <w:tcW w:w="0" w:type="dxa"/>
            <w:vAlign w:val="bottom"/>
          </w:tcPr>
          <w:p>
            <w:pPr>
              <w:spacing w:after="0"/>
              <w:rPr>
                <w:sz w:val="1"/>
                <w:szCs w:val="1"/>
                <w:color w:val="auto"/>
              </w:rPr>
            </w:pPr>
          </w:p>
        </w:tc>
      </w:tr>
      <w:tr>
        <w:trPr>
          <w:trHeight w:val="129"/>
        </w:trPr>
        <w:tc>
          <w:tcPr>
            <w:tcW w:w="4900" w:type="dxa"/>
            <w:vAlign w:val="bottom"/>
            <w:tcBorders>
              <w:left w:val="single" w:sz="8" w:color="auto"/>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64"/>
        </w:trPr>
        <w:tc>
          <w:tcPr>
            <w:tcW w:w="49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i w:val="1"/>
                <w:iCs w:val="1"/>
                <w:color w:val="auto"/>
              </w:rPr>
              <w:t>Ending September 30, 2026 and thereafter</w:t>
            </w: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4.25:1.00</w:t>
            </w:r>
          </w:p>
        </w:tc>
        <w:tc>
          <w:tcPr>
            <w:tcW w:w="0" w:type="dxa"/>
            <w:vAlign w:val="bottom"/>
          </w:tcPr>
          <w:p>
            <w:pPr>
              <w:spacing w:after="0"/>
              <w:rPr>
                <w:sz w:val="1"/>
                <w:szCs w:val="1"/>
                <w:color w:val="auto"/>
              </w:rPr>
            </w:pPr>
          </w:p>
        </w:tc>
      </w:tr>
      <w:tr>
        <w:trPr>
          <w:trHeight w:val="129"/>
        </w:trPr>
        <w:tc>
          <w:tcPr>
            <w:tcW w:w="4900" w:type="dxa"/>
            <w:vAlign w:val="bottom"/>
            <w:tcBorders>
              <w:left w:val="single" w:sz="8" w:color="auto"/>
              <w:bottom w:val="single" w:sz="8" w:color="auto"/>
              <w:right w:val="single" w:sz="8" w:color="auto"/>
            </w:tcBorders>
          </w:tcPr>
          <w:p>
            <w:pPr>
              <w:spacing w:after="0"/>
              <w:rPr>
                <w:sz w:val="11"/>
                <w:szCs w:val="11"/>
                <w:color w:val="auto"/>
              </w:rPr>
            </w:pPr>
          </w:p>
        </w:tc>
        <w:tc>
          <w:tcPr>
            <w:tcW w:w="27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1.11</w:t>
      </w:r>
      <w:r>
        <w:rPr>
          <w:rFonts w:ascii="Times New Roman" w:cs="Times New Roman" w:eastAsia="Times New Roman" w:hAnsi="Times New Roman"/>
          <w:sz w:val="20"/>
          <w:szCs w:val="20"/>
          <w:color w:val="000000"/>
        </w:rPr>
        <w:t>Section 10.07 of the Credit Agreement is hereby amended by inserting a new paragraph at the end of such Section to read as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follows:</w:t>
      </w:r>
    </w:p>
    <w:p>
      <w:pPr>
        <w:spacing w:after="0" w:line="190" w:lineRule="exact"/>
        <w:rPr>
          <w:sz w:val="20"/>
          <w:szCs w:val="20"/>
          <w:color w:val="auto"/>
        </w:rPr>
      </w:pPr>
    </w:p>
    <w:p>
      <w:pPr>
        <w:jc w:val="both"/>
        <w:ind w:left="760" w:right="760" w:firstLine="695"/>
        <w:spacing w:after="0" w:line="256" w:lineRule="auto"/>
        <w:rPr>
          <w:sz w:val="20"/>
          <w:szCs w:val="20"/>
          <w:color w:val="auto"/>
        </w:rPr>
      </w:pPr>
      <w:r>
        <w:rPr>
          <w:rFonts w:ascii="Times New Roman" w:cs="Times New Roman" w:eastAsia="Times New Roman" w:hAnsi="Times New Roman"/>
          <w:sz w:val="20"/>
          <w:szCs w:val="20"/>
          <w:i w:val="1"/>
          <w:iCs w:val="1"/>
          <w:color w:val="auto"/>
        </w:rPr>
        <w:t>For the avoidance of doubt, nothing herein prohibits any Person from communicating or disclosing information regarding suspected violations of laws, rules, or regulations to a governmental, regulatory, or self-regulatory authority (including any Governmental Authority) without any notification to any Person.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010000"/>
        </w:rPr>
        <w:t>Article 2</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CONDITIONS TO EFFECTIVENESS</w:t>
      </w: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This Amendment shall become effective as of the date first above written (such date first above written, the “</w:t>
      </w:r>
      <w:r>
        <w:rPr>
          <w:rFonts w:ascii="Times New Roman" w:cs="Times New Roman" w:eastAsia="Times New Roman" w:hAnsi="Times New Roman"/>
          <w:sz w:val="20"/>
          <w:szCs w:val="20"/>
          <w:u w:val="single" w:color="auto"/>
          <w:color w:val="auto"/>
        </w:rPr>
        <w:t>Third Amendment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upon satisfaction of the following conditions (in each case, in form and substance reasonably acceptable to the Administrative Agent):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7" w:name="page138"/>
    <w:bookmarkEnd w:id="137"/>
    <w:p>
      <w:pPr>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2.1 </w:t>
      </w:r>
      <w:r>
        <w:rPr>
          <w:rFonts w:ascii="Times New Roman" w:cs="Times New Roman" w:eastAsia="Times New Roman" w:hAnsi="Times New Roman"/>
          <w:sz w:val="20"/>
          <w:szCs w:val="20"/>
          <w:b w:val="1"/>
          <w:bCs w:val="1"/>
          <w:u w:val="single" w:color="auto"/>
          <w:color w:val="000000"/>
        </w:rPr>
        <w:t>Executed Amendment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Administrative Agent shall have received a copy of this Amendment, duly executed by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Company, the Required Lenders and the Administrative Agent.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2.2 </w:t>
      </w:r>
      <w:r>
        <w:rPr>
          <w:rFonts w:ascii="Times New Roman" w:cs="Times New Roman" w:eastAsia="Times New Roman" w:hAnsi="Times New Roman"/>
          <w:sz w:val="20"/>
          <w:szCs w:val="20"/>
          <w:b w:val="1"/>
          <w:bCs w:val="1"/>
          <w:u w:val="single" w:color="auto"/>
          <w:color w:val="000000"/>
        </w:rPr>
        <w:t>Default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As of the date of this Amendment, no Default or Event of Default exists or would result from this Amendment.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2.3 </w:t>
      </w:r>
      <w:r>
        <w:rPr>
          <w:rFonts w:ascii="Times New Roman" w:cs="Times New Roman" w:eastAsia="Times New Roman" w:hAnsi="Times New Roman"/>
          <w:sz w:val="20"/>
          <w:szCs w:val="20"/>
          <w:b w:val="1"/>
          <w:bCs w:val="1"/>
          <w:u w:val="single" w:color="auto"/>
          <w:color w:val="000000"/>
        </w:rPr>
        <w:t>Fees, Costs and Expenses</w:t>
      </w:r>
      <w:r>
        <w:rPr>
          <w:rFonts w:ascii="Times New Roman" w:cs="Times New Roman" w:eastAsia="Times New Roman" w:hAnsi="Times New Roman"/>
          <w:sz w:val="20"/>
          <w:szCs w:val="20"/>
          <w:b w:val="1"/>
          <w:bCs w:val="1"/>
          <w:color w:val="000000"/>
        </w:rPr>
        <w:t>.</w:t>
      </w:r>
    </w:p>
    <w:p>
      <w:pPr>
        <w:spacing w:after="0" w:line="220" w:lineRule="exact"/>
        <w:rPr>
          <w:sz w:val="20"/>
          <w:szCs w:val="20"/>
          <w:color w:val="auto"/>
        </w:rPr>
      </w:pPr>
    </w:p>
    <w:p>
      <w:pPr>
        <w:jc w:val="both"/>
        <w:ind w:left="760" w:firstLine="745"/>
        <w:spacing w:after="0" w:line="249" w:lineRule="auto"/>
        <w:tabs>
          <w:tab w:leader="none" w:pos="204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Company, for the account of each Lender that executes and delivers a signature page hereto to the Administrative Agent by 12:00 p.m. noon (ET) on or before May 1, 2025 (each such Lender,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 amendment fee equal to 0.25% of such Consenting Lender’s Total Credit Exposure on the Third Amendment Effective Date.</w:t>
      </w:r>
    </w:p>
    <w:p>
      <w:pPr>
        <w:spacing w:after="0" w:line="179" w:lineRule="exact"/>
        <w:rPr>
          <w:rFonts w:ascii="Times New Roman" w:cs="Times New Roman" w:eastAsia="Times New Roman" w:hAnsi="Times New Roman"/>
          <w:sz w:val="20"/>
          <w:szCs w:val="20"/>
          <w:color w:val="010000"/>
        </w:rPr>
      </w:pPr>
    </w:p>
    <w:p>
      <w:pPr>
        <w:jc w:val="both"/>
        <w:ind w:left="760" w:firstLine="745"/>
        <w:spacing w:after="0" w:line="254" w:lineRule="auto"/>
        <w:tabs>
          <w:tab w:leader="none" w:pos="204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Company such other fees, costs and expenses previously agreed in writing by the Company to be due and payable in connection with this Amendment on or prior to the Third Amendment Effective Date.</w:t>
      </w:r>
    </w:p>
    <w:p>
      <w:pPr>
        <w:spacing w:after="0" w:line="174" w:lineRule="exact"/>
        <w:rPr>
          <w:rFonts w:ascii="Times New Roman" w:cs="Times New Roman" w:eastAsia="Times New Roman" w:hAnsi="Times New Roman"/>
          <w:sz w:val="20"/>
          <w:szCs w:val="20"/>
          <w:color w:val="010000"/>
        </w:rPr>
      </w:pPr>
    </w:p>
    <w:p>
      <w:pPr>
        <w:jc w:val="both"/>
        <w:ind w:left="760" w:firstLine="745"/>
        <w:spacing w:after="0" w:line="246" w:lineRule="auto"/>
        <w:tabs>
          <w:tab w:leader="none" w:pos="2048" w:val="left"/>
        </w:tabs>
        <w:numPr>
          <w:ilvl w:val="0"/>
          <w:numId w:val="67"/>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Holland &amp; Knight LLP shall have received from the Company payment of all outstanding fees and expenses previously incurred and all fees and expenses incurred in connection with this Amendment, in each case to the extent such fees and expenses are required to be paid by the Company pursuant to the Credit Agreement or otherwise previously agreed in writing by the Company to be payable in connection with the Amendment and to the extent invoiced to the Company at least two Business Days prior to the Third Amendment Effective Date.</w:t>
      </w:r>
    </w:p>
    <w:p>
      <w:pPr>
        <w:spacing w:after="0" w:line="181"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2.4 </w:t>
      </w:r>
      <w:r>
        <w:rPr>
          <w:rFonts w:ascii="Times New Roman" w:cs="Times New Roman" w:eastAsia="Times New Roman" w:hAnsi="Times New Roman"/>
          <w:sz w:val="20"/>
          <w:szCs w:val="20"/>
          <w:b w:val="1"/>
          <w:bCs w:val="1"/>
          <w:u w:val="single" w:color="auto"/>
          <w:color w:val="000000"/>
        </w:rPr>
        <w:t>Miscellaneous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All other documents and legal matters in connection with the transactions contemplated by this Amendment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shall be reasonably satisfactory in form and substance to the Administrative Agent and its counsel.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010000"/>
        </w:rPr>
        <w:t xml:space="preserve">3.1 </w:t>
      </w:r>
      <w:r>
        <w:rPr>
          <w:rFonts w:ascii="Times New Roman" w:cs="Times New Roman" w:eastAsia="Times New Roman" w:hAnsi="Times New Roman"/>
          <w:sz w:val="20"/>
          <w:szCs w:val="20"/>
          <w:b w:val="1"/>
          <w:bCs w:val="1"/>
          <w:u w:val="single" w:color="auto"/>
          <w:color w:val="000000"/>
        </w:rPr>
        <w:t>Amended Terms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On and after the Third Amendment Effective Date, all references to the Credit Agreement in each of the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Loan 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3.2 </w:t>
      </w:r>
      <w:r>
        <w:rPr>
          <w:rFonts w:ascii="Times New Roman" w:cs="Times New Roman" w:eastAsia="Times New Roman" w:hAnsi="Times New Roman"/>
          <w:sz w:val="20"/>
          <w:szCs w:val="20"/>
          <w:b w:val="1"/>
          <w:bCs w:val="1"/>
          <w:u w:val="single" w:color="auto"/>
          <w:color w:val="000000"/>
        </w:rPr>
        <w:t>Representations and Warranties of the Company</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Company represents and warrants as follows:</w:t>
      </w:r>
    </w:p>
    <w:p>
      <w:pPr>
        <w:spacing w:after="0" w:line="220" w:lineRule="exact"/>
        <w:rPr>
          <w:sz w:val="20"/>
          <w:szCs w:val="20"/>
          <w:color w:val="auto"/>
        </w:rPr>
      </w:pPr>
    </w:p>
    <w:p>
      <w:pPr>
        <w:ind w:left="2040" w:hanging="535"/>
        <w:spacing w:after="0"/>
        <w:tabs>
          <w:tab w:leader="none" w:pos="2040"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 has taken all necessary action to authorize the execution, delivery and performance of this Amendment.</w:t>
      </w:r>
    </w:p>
    <w:p>
      <w:pPr>
        <w:spacing w:after="0" w:line="215" w:lineRule="exact"/>
        <w:rPr>
          <w:rFonts w:ascii="Times New Roman" w:cs="Times New Roman" w:eastAsia="Times New Roman" w:hAnsi="Times New Roman"/>
          <w:sz w:val="20"/>
          <w:szCs w:val="20"/>
          <w:color w:val="010000"/>
        </w:rPr>
      </w:pPr>
    </w:p>
    <w:p>
      <w:pPr>
        <w:jc w:val="both"/>
        <w:ind w:left="760" w:firstLine="745"/>
        <w:spacing w:after="0" w:line="249" w:lineRule="auto"/>
        <w:tabs>
          <w:tab w:leader="none" w:pos="2048" w:val="left"/>
        </w:tabs>
        <w:numPr>
          <w:ilvl w:val="0"/>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Amendment has been duly executed and delivered by the Company, and constitutes a legal, valid and binding obligation of the Company, enforceable against it in accordance with its terms, except to the extent that enforcement may be limited by applicable bankruptcy, reorganization, moratorium, insolvency and similar laws affecting creditors’ rights generally or by equitable principles of general application, regardless of whether considered in a proceeding in equity or at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8" w:name="page139"/>
    <w:bookmarkEnd w:id="138"/>
    <w:p>
      <w:pPr>
        <w:jc w:val="both"/>
        <w:ind w:left="760" w:firstLine="745"/>
        <w:spacing w:after="0" w:line="254" w:lineRule="auto"/>
        <w:tabs>
          <w:tab w:leader="none" w:pos="2048"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the Company of this Amendment.</w:t>
      </w:r>
    </w:p>
    <w:p>
      <w:pPr>
        <w:spacing w:after="0" w:line="174" w:lineRule="exact"/>
        <w:rPr>
          <w:rFonts w:ascii="Times New Roman" w:cs="Times New Roman" w:eastAsia="Times New Roman" w:hAnsi="Times New Roman"/>
          <w:sz w:val="20"/>
          <w:szCs w:val="20"/>
          <w:color w:val="010000"/>
        </w:rPr>
      </w:pPr>
    </w:p>
    <w:p>
      <w:pPr>
        <w:jc w:val="both"/>
        <w:ind w:left="760" w:firstLine="745"/>
        <w:spacing w:after="0" w:line="243" w:lineRule="auto"/>
        <w:tabs>
          <w:tab w:leader="none" w:pos="2048"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contained in Article V of the Credit Agreement and in each other Loan Document are (i) with respect to representations and warranties that contain a materiality qualification, true and correct on and as of the Third Amendment Effective Date and (ii) with respect to representations and warranties that do not contain a materiality qualification, true and correct in all material respects on and as of the Third Amendment Effective Date, except to the extent that such representations and warranties specifically refer to an earlier date, in which case they are (x) with respect to representations and warranties that contain a materiality qualification, true and correct on and as of such earlier date and (y) with respect to representations and warranties that do not contain a materiality qualification, true and correct in all material respects on and as of such earlier date.</w:t>
      </w:r>
    </w:p>
    <w:p>
      <w:pPr>
        <w:spacing w:after="0" w:line="189" w:lineRule="exact"/>
        <w:rPr>
          <w:rFonts w:ascii="Times New Roman" w:cs="Times New Roman" w:eastAsia="Times New Roman" w:hAnsi="Times New Roman"/>
          <w:sz w:val="20"/>
          <w:szCs w:val="20"/>
          <w:color w:val="010000"/>
        </w:rPr>
      </w:pPr>
    </w:p>
    <w:p>
      <w:pPr>
        <w:ind w:left="2040" w:hanging="535"/>
        <w:spacing w:after="0"/>
        <w:tabs>
          <w:tab w:leader="none" w:pos="204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date of this Amendment, no event has occurred and is continuing which constitutes a Default or an Event</w:t>
      </w:r>
    </w:p>
    <w:p>
      <w:pPr>
        <w:spacing w:after="0" w:line="21" w:lineRule="exact"/>
        <w:rPr>
          <w:rFonts w:ascii="Times New Roman" w:cs="Times New Roman" w:eastAsia="Times New Roman" w:hAnsi="Times New Roman"/>
          <w:sz w:val="20"/>
          <w:szCs w:val="20"/>
          <w:color w:val="010000"/>
        </w:rPr>
      </w:pPr>
    </w:p>
    <w:p>
      <w:pPr>
        <w:ind w:left="7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of Default.</w:t>
      </w:r>
    </w:p>
    <w:p>
      <w:pPr>
        <w:spacing w:after="0" w:line="193" w:lineRule="exact"/>
        <w:rPr>
          <w:rFonts w:ascii="Times New Roman" w:cs="Times New Roman" w:eastAsia="Times New Roman" w:hAnsi="Times New Roman"/>
          <w:sz w:val="20"/>
          <w:szCs w:val="20"/>
          <w:color w:val="010000"/>
        </w:rPr>
      </w:pPr>
    </w:p>
    <w:p>
      <w:pPr>
        <w:ind w:left="2040" w:hanging="535"/>
        <w:spacing w:after="0"/>
        <w:tabs>
          <w:tab w:leader="none" w:pos="204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are not reduced or modified by this Amendment and are not subject to any offsets, defenses or</w:t>
      </w:r>
    </w:p>
    <w:p>
      <w:pPr>
        <w:spacing w:after="0" w:line="21" w:lineRule="exact"/>
        <w:rPr>
          <w:rFonts w:ascii="Times New Roman" w:cs="Times New Roman" w:eastAsia="Times New Roman" w:hAnsi="Times New Roman"/>
          <w:sz w:val="20"/>
          <w:szCs w:val="20"/>
          <w:color w:val="010000"/>
        </w:rPr>
      </w:pPr>
    </w:p>
    <w:p>
      <w:pPr>
        <w:ind w:left="760"/>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counterclaims.</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010000"/>
        </w:rPr>
        <w:t xml:space="preserve">3.3 </w:t>
      </w:r>
      <w:r>
        <w:rPr>
          <w:rFonts w:ascii="Times New Roman" w:cs="Times New Roman" w:eastAsia="Times New Roman" w:hAnsi="Times New Roman"/>
          <w:sz w:val="20"/>
          <w:szCs w:val="20"/>
          <w:b w:val="1"/>
          <w:bCs w:val="1"/>
          <w:u w:val="single" w:color="auto"/>
          <w:color w:val="000000"/>
        </w:rPr>
        <w:t>Reaffirmation of Obligations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Company, on behalf of itself and each other Loan Party, hereby ratifies the Credit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Agreement and each other Loan Document, and acknowledges and reaffirms (a) that each Loan Party is bound by all terms of the Credit Agreement and each such Loan Document applicable to it and (b) that each Loan Party is responsible for the observance and full performance of its respective Obligations.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010000"/>
        </w:rPr>
        <w:t xml:space="preserve">3.4 </w:t>
      </w:r>
      <w:r>
        <w:rPr>
          <w:rFonts w:ascii="Times New Roman" w:cs="Times New Roman" w:eastAsia="Times New Roman" w:hAnsi="Times New Roman"/>
          <w:sz w:val="20"/>
          <w:szCs w:val="20"/>
          <w:b w:val="1"/>
          <w:bCs w:val="1"/>
          <w:u w:val="single" w:color="auto"/>
          <w:color w:val="000000"/>
        </w:rPr>
        <w:t>Loan Document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This Amendment shall constitute a Loan Document under the terms of the Credit Agreement.</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010000"/>
        </w:rPr>
        <w:t xml:space="preserve">3.5 </w:t>
      </w:r>
      <w:r>
        <w:rPr>
          <w:rFonts w:ascii="Times New Roman" w:cs="Times New Roman" w:eastAsia="Times New Roman" w:hAnsi="Times New Roman"/>
          <w:sz w:val="20"/>
          <w:szCs w:val="20"/>
          <w:b w:val="1"/>
          <w:bCs w:val="1"/>
          <w:u w:val="single" w:color="auto"/>
          <w:color w:val="000000"/>
        </w:rPr>
        <w:t>Expenses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Company agrees to pay all reasonable and documented out-of-pocket costs and expenses of the Administrative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Agent in connection with the preparation, execution and delivery of this Amendment, including without limitation the reasonable and documented fees and expenses of the Administrative Agent’s legal counsel.</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3.6 </w:t>
      </w:r>
      <w:r>
        <w:rPr>
          <w:rFonts w:ascii="Times New Roman" w:cs="Times New Roman" w:eastAsia="Times New Roman" w:hAnsi="Times New Roman"/>
          <w:sz w:val="20"/>
          <w:szCs w:val="20"/>
          <w:b w:val="1"/>
          <w:bCs w:val="1"/>
          <w:u w:val="single" w:color="auto"/>
          <w:color w:val="000000"/>
        </w:rPr>
        <w:t>Further Assurances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Company agrees to promptly take such action, upon the request of the Administrative Agent, as is</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necessary to carry out the intent of this Amendment.</w:t>
      </w:r>
    </w:p>
    <w:p>
      <w:pPr>
        <w:spacing w:after="0" w:line="152"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 xml:space="preserve">3.7 </w:t>
      </w:r>
      <w:r>
        <w:rPr>
          <w:rFonts w:ascii="Times New Roman" w:cs="Times New Roman" w:eastAsia="Times New Roman" w:hAnsi="Times New Roman"/>
          <w:sz w:val="20"/>
          <w:szCs w:val="20"/>
          <w:b w:val="1"/>
          <w:bCs w:val="1"/>
          <w:u w:val="single" w:color="auto"/>
          <w:color w:val="000000"/>
        </w:rPr>
        <w:t>Entirety</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This Amendment and the other Loan Documents embody the entire agreement among the parties hereto and</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supersede all prior agreements and understandings, oral or written, if any, relating to the subject matter hereof.</w:t>
      </w:r>
    </w:p>
    <w:p>
      <w:pPr>
        <w:spacing w:after="0" w:line="15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010000"/>
        </w:rPr>
        <w:t xml:space="preserve">3.8 </w:t>
      </w:r>
      <w:r>
        <w:rPr>
          <w:rFonts w:ascii="Times New Roman" w:cs="Times New Roman" w:eastAsia="Times New Roman" w:hAnsi="Times New Roman"/>
          <w:sz w:val="20"/>
          <w:szCs w:val="20"/>
          <w:b w:val="1"/>
          <w:bCs w:val="1"/>
          <w:u w:val="single" w:color="auto"/>
          <w:color w:val="000000"/>
        </w:rPr>
        <w:t>Counterparts; Delivery</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This Amendment may be in the form of an Electronic Record and may be executed using Electronic</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w:t>
      </w:r>
    </w:p>
    <w:p>
      <w:pPr>
        <w:spacing w:after="0" w:line="18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010000"/>
        </w:rPr>
        <w:t xml:space="preserve">3.9 </w:t>
      </w:r>
      <w:r>
        <w:rPr>
          <w:rFonts w:ascii="Times New Roman" w:cs="Times New Roman" w:eastAsia="Times New Roman" w:hAnsi="Times New Roman"/>
          <w:sz w:val="20"/>
          <w:szCs w:val="20"/>
          <w:b w:val="1"/>
          <w:bCs w:val="1"/>
          <w:u w:val="single" w:color="auto"/>
          <w:color w:val="000000"/>
        </w:rPr>
        <w:t>GOVERNING LAW</w:t>
      </w:r>
      <w:r>
        <w:rPr>
          <w:rFonts w:ascii="Times New Roman" w:cs="Times New Roman" w:eastAsia="Times New Roman" w:hAnsi="Times New Roman"/>
          <w:sz w:val="20"/>
          <w:szCs w:val="20"/>
          <w:b w:val="1"/>
          <w:bCs w:val="1"/>
          <w:color w:val="000000"/>
        </w:rPr>
        <w:t>. THIS AMENDMENT SHALL BE GOVERNED BY, AND CONSTRUED IN ACCORDANCE</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b w:val="1"/>
          <w:bCs w:val="1"/>
          <w:color w:val="000000"/>
        </w:rPr>
        <w:t>WITH, THE LAW OF THE STATE OF NEW YORK, INCLUDING FOR SUCH PURPOSES SECTIONS 5-1401 AND 5-1402 OF THE GENERAL OBLIGATIONS LAW OF THE STATE OF NEW YORK.</w:t>
      </w:r>
    </w:p>
    <w:p>
      <w:pPr>
        <w:spacing w:after="0" w:line="169"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3.10</w:t>
      </w:r>
      <w:r>
        <w:rPr>
          <w:rFonts w:ascii="Times New Roman" w:cs="Times New Roman" w:eastAsia="Times New Roman" w:hAnsi="Times New Roman"/>
          <w:sz w:val="20"/>
          <w:szCs w:val="20"/>
          <w:b w:val="1"/>
          <w:bCs w:val="1"/>
          <w:u w:val="single" w:color="auto"/>
          <w:color w:val="000000"/>
        </w:rPr>
        <w:t>Successors and Assigns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This Amendment shall be binding upon and inure to the benefit of the parties hereto and their</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respective successors and permitted assigns.</w:t>
      </w:r>
    </w:p>
    <w:p>
      <w:pPr>
        <w:spacing w:after="0" w:line="15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010000"/>
        </w:rPr>
        <w:t>3.11</w:t>
      </w:r>
      <w:r>
        <w:rPr>
          <w:rFonts w:ascii="Times New Roman" w:cs="Times New Roman" w:eastAsia="Times New Roman" w:hAnsi="Times New Roman"/>
          <w:sz w:val="20"/>
          <w:szCs w:val="20"/>
          <w:b w:val="1"/>
          <w:bCs w:val="1"/>
          <w:u w:val="single" w:color="auto"/>
          <w:color w:val="000000"/>
        </w:rPr>
        <w:t>Consent to Jurisdiction; Service of Process; Waiver of Jury Trial</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The jurisdiction, service of process and waiver of jury</w:t>
      </w:r>
      <w:r>
        <w:rPr>
          <w:rFonts w:ascii="Times New Roman" w:cs="Times New Roman" w:eastAsia="Times New Roman" w:hAnsi="Times New Roman"/>
          <w:sz w:val="20"/>
          <w:szCs w:val="20"/>
          <w:b w:val="1"/>
          <w:bCs w:val="1"/>
          <w:color w:val="010000"/>
        </w:rPr>
        <w:t xml:space="preserve"> </w:t>
      </w:r>
      <w:r>
        <w:rPr>
          <w:rFonts w:ascii="Times New Roman" w:cs="Times New Roman" w:eastAsia="Times New Roman" w:hAnsi="Times New Roman"/>
          <w:sz w:val="20"/>
          <w:szCs w:val="20"/>
          <w:color w:val="000000"/>
        </w:rPr>
        <w:t xml:space="preserve">trial provisions set forth in Sections 10.14 and 10.15 of the Credit Agreement are hereby incorporated by reference, </w:t>
      </w:r>
      <w:r>
        <w:rPr>
          <w:rFonts w:ascii="Times New Roman" w:cs="Times New Roman" w:eastAsia="Times New Roman" w:hAnsi="Times New Roman"/>
          <w:sz w:val="20"/>
          <w:szCs w:val="20"/>
          <w:i w:val="1"/>
          <w:iCs w:val="1"/>
          <w:color w:val="000000"/>
        </w:rPr>
        <w:t>mutatis mutandis</w:t>
      </w:r>
      <w:r>
        <w:rPr>
          <w:rFonts w:ascii="Times New Roman" w:cs="Times New Roman" w:eastAsia="Times New Roman" w:hAnsi="Times New Roman"/>
          <w:sz w:val="20"/>
          <w:szCs w:val="20"/>
          <w:color w:val="000000"/>
        </w:rPr>
        <w: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Third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#520074762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on the date first above written.</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5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THE HAIN CELESTIAL GROUP, INC.</w:t>
      </w:r>
    </w:p>
    <w:p>
      <w:pPr>
        <w:spacing w:after="0" w:line="21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Lee A. Boyce</w:t>
      </w:r>
    </w:p>
    <w:p>
      <w:pPr>
        <w:spacing w:after="0" w:line="64" w:lineRule="exact"/>
        <w:rPr>
          <w:sz w:val="20"/>
          <w:szCs w:val="20"/>
          <w:color w:val="auto"/>
        </w:rPr>
      </w:pPr>
    </w:p>
    <w:p>
      <w:pPr>
        <w:ind w:left="446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Lee A. Boyce</w:t>
      </w:r>
    </w:p>
    <w:p>
      <w:pPr>
        <w:ind w:left="446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2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DeWayne D. Rosse</w:t>
      </w:r>
    </w:p>
    <w:p>
      <w:pPr>
        <w:spacing w:after="0" w:line="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DeWayne D. Rosse</w:t>
      </w:r>
    </w:p>
    <w:p>
      <w:pPr>
        <w:ind w:left="390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463550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41" w:name="page142"/>
    <w:bookmarkEnd w:id="141"/>
    <w:p>
      <w:pPr>
        <w:ind w:left="32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 L/C Issuer, U.S. Swing Line Lender and Global Swing Line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Jana L. Baker</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Jana L. Baker</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549275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2" w:name="page143"/>
    <w:bookmarkEnd w:id="142"/>
    <w:p>
      <w:pPr>
        <w:ind w:left="3200"/>
        <w:spacing w:after="0"/>
        <w:rPr>
          <w:sz w:val="20"/>
          <w:szCs w:val="20"/>
          <w:color w:val="auto"/>
        </w:rPr>
      </w:pPr>
      <w:r>
        <w:rPr>
          <w:rFonts w:ascii="Times New Roman" w:cs="Times New Roman" w:eastAsia="Times New Roman" w:hAnsi="Times New Roman"/>
          <w:sz w:val="20"/>
          <w:szCs w:val="20"/>
          <w:color w:val="auto"/>
        </w:rPr>
        <w:t>Citizens Bank, N.A.,</w:t>
      </w:r>
    </w:p>
    <w:p>
      <w:pPr>
        <w:spacing w:after="0" w:line="2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Tyler J. McCarthy</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Tyler J. McCarthy</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43" w:name="page144"/>
    <w:bookmarkEnd w:id="143"/>
    <w:p>
      <w:pPr>
        <w:ind w:left="3200"/>
        <w:spacing w:after="0"/>
        <w:rPr>
          <w:sz w:val="20"/>
          <w:szCs w:val="20"/>
          <w:color w:val="auto"/>
        </w:rPr>
      </w:pPr>
      <w:r>
        <w:rPr>
          <w:rFonts w:ascii="Times New Roman" w:cs="Times New Roman" w:eastAsia="Times New Roman" w:hAnsi="Times New Roman"/>
          <w:sz w:val="20"/>
          <w:szCs w:val="20"/>
          <w:b w:val="1"/>
          <w:bCs w:val="1"/>
          <w:color w:val="auto"/>
        </w:rPr>
        <w:t>WELLS FARGO BANK, NATIONAL</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ASSOCIATION,</w:t>
      </w: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Michael Zick</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Michael Zick</w:t>
      </w:r>
    </w:p>
    <w:p>
      <w:pPr>
        <w:ind w:left="35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4" w:name="page145"/>
    <w:bookmarkEnd w:id="144"/>
    <w:p>
      <w:pPr>
        <w:ind w:left="3200"/>
        <w:spacing w:after="0"/>
        <w:rPr>
          <w:sz w:val="20"/>
          <w:szCs w:val="20"/>
          <w:color w:val="auto"/>
        </w:rPr>
      </w:pPr>
      <w:r>
        <w:rPr>
          <w:rFonts w:ascii="Times New Roman" w:cs="Times New Roman" w:eastAsia="Times New Roman" w:hAnsi="Times New Roman"/>
          <w:sz w:val="20"/>
          <w:szCs w:val="20"/>
          <w:b w:val="1"/>
          <w:bCs w:val="1"/>
          <w:color w:val="auto"/>
        </w:rPr>
        <w:t>COBANK, ACB,</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Bentley Hodges</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Bentley Hodges</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5" w:name="page146"/>
    <w:bookmarkEnd w:id="145"/>
    <w:p>
      <w:pPr>
        <w:ind w:left="3200"/>
        <w:spacing w:after="0"/>
        <w:rPr>
          <w:sz w:val="20"/>
          <w:szCs w:val="20"/>
          <w:color w:val="auto"/>
        </w:rPr>
      </w:pPr>
      <w:r>
        <w:rPr>
          <w:rFonts w:ascii="Times New Roman" w:cs="Times New Roman" w:eastAsia="Times New Roman" w:hAnsi="Times New Roman"/>
          <w:sz w:val="20"/>
          <w:szCs w:val="20"/>
          <w:b w:val="1"/>
          <w:bCs w:val="1"/>
          <w:color w:val="auto"/>
        </w:rPr>
        <w:t>BMO Bank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Jonathan Sarmini</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Jonathan Sarmini</w:t>
      </w:r>
    </w:p>
    <w:p>
      <w:pPr>
        <w:ind w:left="3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6" w:name="page147"/>
    <w:bookmarkEnd w:id="146"/>
    <w:p>
      <w:pPr>
        <w:ind w:left="3200"/>
        <w:spacing w:after="0"/>
        <w:rPr>
          <w:sz w:val="20"/>
          <w:szCs w:val="20"/>
          <w:color w:val="auto"/>
        </w:rPr>
      </w:pPr>
      <w:r>
        <w:rPr>
          <w:rFonts w:ascii="Times New Roman" w:cs="Times New Roman" w:eastAsia="Times New Roman" w:hAnsi="Times New Roman"/>
          <w:sz w:val="20"/>
          <w:szCs w:val="20"/>
          <w:b w:val="1"/>
          <w:bCs w:val="1"/>
          <w:color w:val="auto"/>
        </w:rPr>
        <w:t>COÖPERATIEVE RABOBANK U.A.,</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NEW YORK BRANCH,</w:t>
      </w: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Van Brandenburg</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Van Brandenburg</w:t>
      </w:r>
    </w:p>
    <w:p>
      <w:pPr>
        <w:ind w:left="3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Irene Stephens</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Irene Stephens</w:t>
      </w:r>
    </w:p>
    <w:p>
      <w:pPr>
        <w:ind w:left="35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7" w:name="page148"/>
    <w:bookmarkEnd w:id="147"/>
    <w:p>
      <w:pPr>
        <w:ind w:left="3200"/>
        <w:spacing w:after="0"/>
        <w:rPr>
          <w:sz w:val="20"/>
          <w:szCs w:val="20"/>
          <w:color w:val="auto"/>
        </w:rPr>
      </w:pPr>
      <w:r>
        <w:rPr>
          <w:rFonts w:ascii="Times New Roman" w:cs="Times New Roman" w:eastAsia="Times New Roman" w:hAnsi="Times New Roman"/>
          <w:sz w:val="20"/>
          <w:szCs w:val="20"/>
          <w:b w:val="1"/>
          <w:bCs w:val="1"/>
          <w:color w:val="auto"/>
        </w:rPr>
        <w:t>FARM CREDIT EAST, ACA,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Eric W Pohlman</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Eric W Pohlman</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8" w:name="page149"/>
    <w:bookmarkEnd w:id="148"/>
    <w:p>
      <w:pPr>
        <w:ind w:left="3200"/>
        <w:spacing w:after="0"/>
        <w:rPr>
          <w:sz w:val="20"/>
          <w:szCs w:val="20"/>
          <w:color w:val="auto"/>
        </w:rPr>
      </w:pPr>
      <w:r>
        <w:rPr>
          <w:rFonts w:ascii="Times New Roman" w:cs="Times New Roman" w:eastAsia="Times New Roman" w:hAnsi="Times New Roman"/>
          <w:sz w:val="20"/>
          <w:szCs w:val="20"/>
          <w:b w:val="1"/>
          <w:bCs w:val="1"/>
          <w:color w:val="auto"/>
        </w:rPr>
        <w:t>JPMORGAN CHASE,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Scott W. Downs</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Scott W. Downs</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49" w:name="page150"/>
    <w:bookmarkEnd w:id="149"/>
    <w:p>
      <w:pPr>
        <w:ind w:left="3200"/>
        <w:spacing w:after="0"/>
        <w:rPr>
          <w:sz w:val="20"/>
          <w:szCs w:val="20"/>
          <w:color w:val="auto"/>
        </w:rPr>
      </w:pPr>
      <w:r>
        <w:rPr>
          <w:rFonts w:ascii="Times New Roman" w:cs="Times New Roman" w:eastAsia="Times New Roman" w:hAnsi="Times New Roman"/>
          <w:sz w:val="20"/>
          <w:szCs w:val="20"/>
          <w:b w:val="1"/>
          <w:bCs w:val="1"/>
          <w:color w:val="auto"/>
        </w:rPr>
        <w:t>TD BANK,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M. Bernadette Collins</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Bernadette Collins</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0" w:name="page151"/>
    <w:bookmarkEnd w:id="150"/>
    <w:p>
      <w:pPr>
        <w:ind w:left="320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Dennis Tybor</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Dennis Tybor (23307)</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1" w:name="page152"/>
    <w:bookmarkEnd w:id="151"/>
    <w:p>
      <w:pPr>
        <w:ind w:left="3200"/>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Christopher M. Aitkin</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Christopher M. Aitkin</w:t>
      </w:r>
    </w:p>
    <w:p>
      <w:pPr>
        <w:ind w:left="3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2" w:name="page153"/>
    <w:bookmarkEnd w:id="152"/>
    <w:p>
      <w:pPr>
        <w:ind w:left="3200"/>
        <w:spacing w:after="0"/>
        <w:rPr>
          <w:sz w:val="20"/>
          <w:szCs w:val="20"/>
          <w:color w:val="auto"/>
        </w:rPr>
      </w:pPr>
      <w:r>
        <w:rPr>
          <w:rFonts w:ascii="Times New Roman" w:cs="Times New Roman" w:eastAsia="Times New Roman" w:hAnsi="Times New Roman"/>
          <w:sz w:val="20"/>
          <w:szCs w:val="20"/>
          <w:b w:val="1"/>
          <w:bCs w:val="1"/>
          <w:color w:val="auto"/>
        </w:rPr>
        <w:t>AGFIRST FARM CREDIT BANK,</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Brandon Waring</w:t>
      </w:r>
    </w:p>
    <w:p>
      <w:pPr>
        <w:spacing w:after="0" w:line="6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Brandon Waring</w:t>
      </w:r>
    </w:p>
    <w:p>
      <w:pPr>
        <w:ind w:left="3540"/>
        <w:spacing w:after="0"/>
        <w:rPr>
          <w:sz w:val="20"/>
          <w:szCs w:val="20"/>
          <w:color w:val="auto"/>
        </w:rPr>
      </w:pPr>
      <w:r>
        <w:rPr>
          <w:rFonts w:ascii="Times New Roman" w:cs="Times New Roman" w:eastAsia="Times New Roman" w:hAnsi="Times New Roman"/>
          <w:sz w:val="20"/>
          <w:szCs w:val="20"/>
          <w:color w:val="auto"/>
        </w:rPr>
        <w:t>Title:  VP Capital Markets</w:t>
      </w:r>
    </w:p>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617855</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Copy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FOURTH AMENDMENT TO CREDIT AGREEMENT</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FOURTH AMENDMENT TO CREDIT AGREEMENT</w:t>
      </w:r>
      <w:r>
        <w:rPr>
          <w:rFonts w:ascii="Times New Roman" w:cs="Times New Roman" w:eastAsia="Times New Roman" w:hAnsi="Times New Roman"/>
          <w:sz w:val="20"/>
          <w:szCs w:val="20"/>
          <w:color w:val="auto"/>
        </w:rPr>
        <w:t>, dated as of September 11, 2025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xml:space="preserve">”), is by and among </w:t>
      </w:r>
      <w:r>
        <w:rPr>
          <w:rFonts w:ascii="Times New Roman" w:cs="Times New Roman" w:eastAsia="Times New Roman" w:hAnsi="Times New Roman"/>
          <w:sz w:val="20"/>
          <w:szCs w:val="20"/>
          <w:b w:val="1"/>
          <w:bCs w:val="1"/>
          <w:color w:val="auto"/>
        </w:rPr>
        <w:t>THE HAIN CELESTIAL GROUP,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each Lender party hereto and </w:t>
      </w:r>
      <w:r>
        <w:rPr>
          <w:rFonts w:ascii="Times New Roman" w:cs="Times New Roman" w:eastAsia="Times New Roman" w:hAnsi="Times New Roman"/>
          <w:sz w:val="20"/>
          <w:szCs w:val="20"/>
          <w:b w:val="1"/>
          <w:bCs w:val="1"/>
          <w:color w:val="auto"/>
        </w:rPr>
        <w:t>BANK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AMERICA, N.A.</w:t>
      </w:r>
      <w:r>
        <w:rPr>
          <w:rFonts w:ascii="Times New Roman" w:cs="Times New Roman" w:eastAsia="Times New Roman" w:hAnsi="Times New Roman"/>
          <w:sz w:val="20"/>
          <w:szCs w:val="20"/>
          <w:color w:val="auto"/>
        </w:rPr>
        <w:t>, as Administrative Agent. Capitalized terms used herein and not otherwise defined herein shall have the meanings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ascribed thereto in the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 I T N E S S E T H</w:t>
      </w:r>
    </w:p>
    <w:p>
      <w:pPr>
        <w:spacing w:after="0" w:line="22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each Subsidiary of the Company from time to time party thereto as a Designated Borrower, each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time to time party thereto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and the Administrative Agent are parties to that certain Fourth Amended and Restated Credit Agreement, dated as of December 22, 2021, as (i) amended by (x) that certain First Amendment to Credit Agreement, dated as of December 16, 2022, (y) that certain Second Amendment to Credit Agreement, dated as of August 22, 2023 and (z) that certain Third Amendment to Credit Agreement, dated as of May 5, 2025, and (ii) modified by that certain Suspension of Rights Agreement, dated as of June 26, 2024, whereby the Company agreed CDOR would no longer be a borrowing option under and pursuant to the Credit Agreement (as further amended, restated, amended and restated, supplemented, extended, or otherwise modified from time to time,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has requested that the Required Lenders amend certain provisions of the Credit Agreement; and</w:t>
      </w:r>
    </w:p>
    <w:p>
      <w:pPr>
        <w:spacing w:after="0" w:line="229" w:lineRule="exact"/>
        <w:rPr>
          <w:sz w:val="20"/>
          <w:szCs w:val="20"/>
          <w:color w:val="auto"/>
        </w:rPr>
      </w:pPr>
    </w:p>
    <w:p>
      <w:pPr>
        <w:jc w:val="both"/>
        <w:ind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Required Lenders are willing to amend the Credit Agreement in accordance with and subject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set forth herein.</w:t>
      </w:r>
    </w:p>
    <w:p>
      <w:pPr>
        <w:spacing w:after="0" w:line="16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agreements hereinafter set forth, and for other good and valuable consideration,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and adequacy of which are hereby acknowledged, the parties hereto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AMENDMENTS TO CREDIT AGREEMENT</w:t>
      </w:r>
    </w:p>
    <w:p>
      <w:pPr>
        <w:jc w:val="both"/>
        <w:ind w:firstLine="749"/>
        <w:spacing w:after="0"/>
        <w:rPr>
          <w:sz w:val="20"/>
          <w:szCs w:val="20"/>
          <w:color w:val="auto"/>
        </w:rPr>
      </w:pPr>
      <w:r>
        <w:rPr>
          <w:rFonts w:ascii="Times New Roman" w:cs="Times New Roman" w:eastAsia="Times New Roman" w:hAnsi="Times New Roman"/>
          <w:sz w:val="20"/>
          <w:szCs w:val="20"/>
          <w:color w:val="auto"/>
        </w:rPr>
        <w:t xml:space="preserve">Effective as of the Fourth Amendment Effective Date (as defined below), the Credit Agreement is hereby amended (a) to delete the stricken text (indicated textually in the same manner as the following examples: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color w:val="00AF50"/>
          <w:strike w:val="1"/>
        </w:rPr>
        <w:t>stricken text</w:t>
      </w:r>
      <w:r>
        <w:rPr>
          <w:rFonts w:ascii="Times New Roman" w:cs="Times New Roman" w:eastAsia="Times New Roman" w:hAnsi="Times New Roman"/>
          <w:sz w:val="20"/>
          <w:szCs w:val="20"/>
          <w:color w:val="auto"/>
        </w:rPr>
        <w:t xml:space="preserve">) and (b) to add the double-underlined text (indicated textually in the same manner as the following examples: </w:t>
      </w:r>
      <w:r>
        <w:rPr>
          <w:rFonts w:ascii="Times New Roman" w:cs="Times New Roman" w:eastAsia="Times New Roman" w:hAnsi="Times New Roman"/>
          <w:sz w:val="20"/>
          <w:szCs w:val="20"/>
          <w:u w:val="single" w:color="auto"/>
          <w:color w:val="0000FF"/>
        </w:rPr>
        <w:t>double-underlined text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00AF50"/>
        </w:rPr>
        <w:t>double-underlined text</w:t>
      </w:r>
      <w:r>
        <w:rPr>
          <w:rFonts w:ascii="Times New Roman" w:cs="Times New Roman" w:eastAsia="Times New Roman" w:hAnsi="Times New Roman"/>
          <w:sz w:val="20"/>
          <w:szCs w:val="20"/>
          <w:color w:val="auto"/>
        </w:rPr>
        <w:t xml:space="preserve">), in each case, as set forth in the marked pages of the Credit Agreement (and to the extent provided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exhibits, schedules and appendices to the Credit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and made a part hereof for all purposes, it being agreed that notwithstanding the foregoing, the amendment to Section 7.11(b) of the Credit Agreement set forth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be deemed to have gone into effect on June 30, 2025.</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2</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TO EFFECTIVENESS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Fourth Amendment to Credit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#526328811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4" w:name="page155"/>
    <w:bookmarkEnd w:id="154"/>
    <w:p>
      <w:pPr>
        <w:ind w:left="760"/>
        <w:spacing w:after="0"/>
        <w:rPr>
          <w:sz w:val="20"/>
          <w:szCs w:val="20"/>
          <w:color w:val="auto"/>
        </w:rPr>
      </w:pPr>
      <w:r>
        <w:rPr>
          <w:rFonts w:ascii="Times New Roman" w:cs="Times New Roman" w:eastAsia="Times New Roman" w:hAnsi="Times New Roman"/>
          <w:sz w:val="20"/>
          <w:szCs w:val="20"/>
          <w:color w:val="auto"/>
        </w:rPr>
        <w:t>This Amendment shall become effective as of the date first above written (such date, the “</w:t>
      </w:r>
      <w:r>
        <w:rPr>
          <w:rFonts w:ascii="Times New Roman" w:cs="Times New Roman" w:eastAsia="Times New Roman" w:hAnsi="Times New Roman"/>
          <w:sz w:val="20"/>
          <w:szCs w:val="20"/>
          <w:u w:val="single" w:color="auto"/>
          <w:color w:val="auto"/>
        </w:rPr>
        <w:t>Fourth Amendment Effective Date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satisfaction of the following conditions (in each case, in form and substance reasonably acceptable to the Administrative Agent):</w:t>
      </w:r>
    </w:p>
    <w:p>
      <w:pPr>
        <w:spacing w:after="0" w:line="203" w:lineRule="exact"/>
        <w:rPr>
          <w:sz w:val="20"/>
          <w:szCs w:val="20"/>
          <w:color w:val="auto"/>
        </w:rPr>
      </w:pPr>
    </w:p>
    <w:p>
      <w:pPr>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2.1</w:t>
      </w:r>
      <w:r>
        <w:rPr>
          <w:sz w:val="20"/>
          <w:szCs w:val="20"/>
          <w:color w:val="auto"/>
        </w:rPr>
        <w:tab/>
      </w:r>
      <w:r>
        <w:rPr>
          <w:rFonts w:ascii="Times New Roman" w:cs="Times New Roman" w:eastAsia="Times New Roman" w:hAnsi="Times New Roman"/>
          <w:sz w:val="20"/>
          <w:szCs w:val="20"/>
          <w:b w:val="1"/>
          <w:bCs w:val="1"/>
          <w:u w:val="single" w:color="auto"/>
          <w:color w:val="auto"/>
        </w:rPr>
        <w:t>Executed Amendment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Administrative Agent shall have received a copy of this Amendment, duly executed by the Company,</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Required Lenders and the Administrative Agent.</w:t>
      </w:r>
    </w:p>
    <w:p>
      <w:pPr>
        <w:spacing w:after="0" w:line="15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010000"/>
        </w:rPr>
        <w:t>2.2</w:t>
      </w:r>
      <w:r>
        <w:rPr>
          <w:sz w:val="20"/>
          <w:szCs w:val="20"/>
          <w:color w:val="auto"/>
        </w:rPr>
        <w:tab/>
      </w:r>
      <w:r>
        <w:rPr>
          <w:rFonts w:ascii="Times New Roman" w:cs="Times New Roman" w:eastAsia="Times New Roman" w:hAnsi="Times New Roman"/>
          <w:sz w:val="19"/>
          <w:szCs w:val="19"/>
          <w:b w:val="1"/>
          <w:bCs w:val="1"/>
          <w:u w:val="single" w:color="auto"/>
          <w:color w:val="auto"/>
        </w:rPr>
        <w:t>Default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No Default or Event of Default shall exist immediately prior to and after giving effect to this Amendment.</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010000"/>
        </w:rPr>
        <w:t>2.3</w:t>
      </w:r>
      <w:r>
        <w:rPr>
          <w:sz w:val="20"/>
          <w:szCs w:val="20"/>
          <w:color w:val="auto"/>
        </w:rPr>
        <w:tab/>
      </w:r>
      <w:r>
        <w:rPr>
          <w:rFonts w:ascii="Times New Roman" w:cs="Times New Roman" w:eastAsia="Times New Roman" w:hAnsi="Times New Roman"/>
          <w:sz w:val="19"/>
          <w:szCs w:val="19"/>
          <w:b w:val="1"/>
          <w:bCs w:val="1"/>
          <w:u w:val="single" w:color="auto"/>
          <w:color w:val="auto"/>
        </w:rPr>
        <w:t>Fees, Costs and Expenses</w:t>
      </w:r>
      <w:r>
        <w:rPr>
          <w:rFonts w:ascii="Times New Roman" w:cs="Times New Roman" w:eastAsia="Times New Roman" w:hAnsi="Times New Roman"/>
          <w:sz w:val="19"/>
          <w:szCs w:val="19"/>
          <w:b w:val="1"/>
          <w:bCs w:val="1"/>
          <w:color w:val="auto"/>
        </w:rPr>
        <w:t>.</w:t>
      </w:r>
    </w:p>
    <w:p>
      <w:pPr>
        <w:spacing w:after="0" w:line="220" w:lineRule="exact"/>
        <w:rPr>
          <w:sz w:val="20"/>
          <w:szCs w:val="20"/>
          <w:color w:val="auto"/>
        </w:rPr>
      </w:pPr>
    </w:p>
    <w:p>
      <w:pPr>
        <w:jc w:val="both"/>
        <w:ind w:left="1500" w:hanging="743"/>
        <w:spacing w:after="0" w:line="249" w:lineRule="auto"/>
        <w:tabs>
          <w:tab w:leader="none" w:pos="150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Company, for the account of each Lender that executes and delivers a signature page hereto to the Administrative Agent by 5:00 p.m. (ET) on or before September 11, 2025 (each such Lender, a “</w:t>
      </w:r>
      <w:r>
        <w:rPr>
          <w:rFonts w:ascii="Times New Roman" w:cs="Times New Roman" w:eastAsia="Times New Roman" w:hAnsi="Times New Roman"/>
          <w:sz w:val="20"/>
          <w:szCs w:val="20"/>
          <w:u w:val="single" w:color="auto"/>
          <w:color w:val="auto"/>
        </w:rPr>
        <w:t>Consenting Lender</w:t>
      </w:r>
      <w:r>
        <w:rPr>
          <w:rFonts w:ascii="Times New Roman" w:cs="Times New Roman" w:eastAsia="Times New Roman" w:hAnsi="Times New Roman"/>
          <w:sz w:val="20"/>
          <w:szCs w:val="20"/>
          <w:color w:val="auto"/>
        </w:rPr>
        <w:t>”), an amendment fee equal to 0.15% of such Consenting Lender’s Total Credit Exposure on the Fourth Amendment Effective Date.</w:t>
      </w:r>
    </w:p>
    <w:p>
      <w:pPr>
        <w:spacing w:after="0" w:line="179" w:lineRule="exact"/>
        <w:rPr>
          <w:rFonts w:ascii="Times New Roman" w:cs="Times New Roman" w:eastAsia="Times New Roman" w:hAnsi="Times New Roman"/>
          <w:sz w:val="20"/>
          <w:szCs w:val="20"/>
          <w:color w:val="010000"/>
        </w:rPr>
      </w:pPr>
    </w:p>
    <w:p>
      <w:pPr>
        <w:jc w:val="both"/>
        <w:ind w:left="1500" w:hanging="743"/>
        <w:spacing w:after="0" w:line="254" w:lineRule="auto"/>
        <w:tabs>
          <w:tab w:leader="none" w:pos="150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Administrative Agent shall have received from the Company such other fees, costs and expenses previously agreed in writing by the Company to be due and payable in connection with this Amendment on or prior to the Fourth Amendment Effective Date.</w:t>
      </w:r>
    </w:p>
    <w:p>
      <w:pPr>
        <w:spacing w:after="0" w:line="174" w:lineRule="exact"/>
        <w:rPr>
          <w:rFonts w:ascii="Times New Roman" w:cs="Times New Roman" w:eastAsia="Times New Roman" w:hAnsi="Times New Roman"/>
          <w:sz w:val="20"/>
          <w:szCs w:val="20"/>
          <w:color w:val="010000"/>
        </w:rPr>
      </w:pPr>
    </w:p>
    <w:p>
      <w:pPr>
        <w:jc w:val="both"/>
        <w:ind w:left="1500" w:hanging="743"/>
        <w:spacing w:after="0" w:line="246" w:lineRule="auto"/>
        <w:tabs>
          <w:tab w:leader="none" w:pos="1500" w:val="left"/>
        </w:tabs>
        <w:numPr>
          <w:ilvl w:val="0"/>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Holland &amp; Knight LLP and RPA Advisors, LLC shall each have received from the Company payment of all outstanding fees and expenses previously incurred and all fees and expenses incurred in connection with this Amendment, in each case to the extent such fees and expenses are required to be paid by the Company pursuant to the Credit Agreement or otherwise previously agreed in writing by the Company to be payable in connection with the Amendment and to the extent invoiced to the Company at least two Business Days prior to the Fourth Amendment Effective Date.</w:t>
      </w:r>
    </w:p>
    <w:p>
      <w:pPr>
        <w:spacing w:after="0" w:line="181" w:lineRule="exact"/>
        <w:rPr>
          <w:sz w:val="20"/>
          <w:szCs w:val="20"/>
          <w:color w:val="auto"/>
        </w:rPr>
      </w:pPr>
    </w:p>
    <w:p>
      <w:pPr>
        <w:jc w:val="both"/>
        <w:ind w:left="760" w:right="2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2.4</w:t>
      </w:r>
      <w:r>
        <w:rPr>
          <w:sz w:val="20"/>
          <w:szCs w:val="20"/>
          <w:color w:val="auto"/>
        </w:rPr>
        <w:tab/>
      </w: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All other documents and legal matters in connection with the transactions contemplated by this Amendment shall</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be reasonably satisfactory in form and substance to the Administrative Agent and its counsel.</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010000"/>
        </w:rPr>
        <w:t>Article 3</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jc w:val="both"/>
        <w:ind w:left="760" w:hanging="748"/>
        <w:spacing w:after="0" w:line="241"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3.1</w:t>
      </w:r>
      <w:r>
        <w:rPr>
          <w:sz w:val="20"/>
          <w:szCs w:val="20"/>
          <w:color w:val="auto"/>
        </w:rPr>
        <w:tab/>
      </w:r>
      <w:r>
        <w:rPr>
          <w:rFonts w:ascii="Times New Roman" w:cs="Times New Roman" w:eastAsia="Times New Roman" w:hAnsi="Times New Roman"/>
          <w:sz w:val="20"/>
          <w:szCs w:val="20"/>
          <w:b w:val="1"/>
          <w:bCs w:val="1"/>
          <w:u w:val="single" w:color="auto"/>
          <w:color w:val="auto"/>
        </w:rPr>
        <w:t>Amended Terms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On and after the Fourth Amendment Effective Date, all references to the Credit Agreement in each of the Loan</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Documents shall hereafter mean the Credit Agreement as amended by this Amendment. Except as specifically amended hereby or otherwise agreed, the Credit Agreement is hereby ratified and confirmed and shall remain in full force and effect according to its terms.</w:t>
      </w:r>
    </w:p>
    <w:p>
      <w:pPr>
        <w:spacing w:after="0" w:line="18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010000"/>
        </w:rPr>
        <w:t>3.2</w:t>
      </w:r>
      <w:r>
        <w:rPr>
          <w:sz w:val="20"/>
          <w:szCs w:val="20"/>
          <w:color w:val="auto"/>
        </w:rPr>
        <w:tab/>
      </w:r>
      <w:r>
        <w:rPr>
          <w:rFonts w:ascii="Times New Roman" w:cs="Times New Roman" w:eastAsia="Times New Roman" w:hAnsi="Times New Roman"/>
          <w:sz w:val="20"/>
          <w:szCs w:val="20"/>
          <w:b w:val="1"/>
          <w:bCs w:val="1"/>
          <w:u w:val="single" w:color="auto"/>
          <w:color w:val="auto"/>
        </w:rPr>
        <w:t>Representations and Warranties of the Company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represents and warrants as follows:</w:t>
      </w:r>
    </w:p>
    <w:p>
      <w:pPr>
        <w:spacing w:after="0" w:line="220" w:lineRule="exact"/>
        <w:rPr>
          <w:sz w:val="20"/>
          <w:szCs w:val="20"/>
          <w:color w:val="auto"/>
        </w:rPr>
      </w:pPr>
    </w:p>
    <w:p>
      <w:pPr>
        <w:ind w:left="1500" w:hanging="743"/>
        <w:spacing w:after="0"/>
        <w:tabs>
          <w:tab w:leader="none" w:pos="1500" w:val="left"/>
        </w:tabs>
        <w:numPr>
          <w:ilvl w:val="0"/>
          <w:numId w:val="7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It has taken all necessary action to authorize the execution, delivery and performance of this Amendment.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Fourth Amendment to Credit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#526328811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5" w:name="page156"/>
    <w:bookmarkEnd w:id="155"/>
    <w:p>
      <w:pPr>
        <w:jc w:val="both"/>
        <w:ind w:left="1500" w:hanging="743"/>
        <w:spacing w:after="0" w:line="246" w:lineRule="auto"/>
        <w:tabs>
          <w:tab w:leader="none" w:pos="150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This Amendment has been duly executed and delivered by the Company, and constitutes a legal, valid and binding obligation of the Company, enforceable against it in accordance with its terms, except to the extent that enforcement may be limited by applicable bankruptcy, reorganization, moratorium, insolvency and similar laws affecting creditors’ rights generally or by equitable principles of general application, regardless of whether considered in a proceeding in equity or at law.</w:t>
      </w:r>
    </w:p>
    <w:p>
      <w:pPr>
        <w:spacing w:after="0" w:line="184" w:lineRule="exact"/>
        <w:rPr>
          <w:rFonts w:ascii="Times New Roman" w:cs="Times New Roman" w:eastAsia="Times New Roman" w:hAnsi="Times New Roman"/>
          <w:sz w:val="20"/>
          <w:szCs w:val="20"/>
          <w:color w:val="010000"/>
        </w:rPr>
      </w:pPr>
    </w:p>
    <w:p>
      <w:pPr>
        <w:jc w:val="both"/>
        <w:ind w:left="1500" w:hanging="743"/>
        <w:spacing w:after="0" w:line="254" w:lineRule="auto"/>
        <w:tabs>
          <w:tab w:leader="none" w:pos="150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No consent, approval, authorization or order of, or filing, registration or qualification with, any court or governmental authority or third party is required in connection with the execution, delivery or performance by the Company of this Amendment.</w:t>
      </w:r>
    </w:p>
    <w:p>
      <w:pPr>
        <w:spacing w:after="0" w:line="174" w:lineRule="exact"/>
        <w:rPr>
          <w:rFonts w:ascii="Times New Roman" w:cs="Times New Roman" w:eastAsia="Times New Roman" w:hAnsi="Times New Roman"/>
          <w:sz w:val="20"/>
          <w:szCs w:val="20"/>
          <w:color w:val="010000"/>
        </w:rPr>
      </w:pPr>
    </w:p>
    <w:p>
      <w:pPr>
        <w:ind w:left="1500" w:hanging="743"/>
        <w:spacing w:after="0"/>
        <w:tabs>
          <w:tab w:leader="none" w:pos="1500" w:val="left"/>
        </w:tabs>
        <w:numPr>
          <w:ilvl w:val="0"/>
          <w:numId w:val="7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representations and warranties contained in Article V of the Credit Agreement and in each other Loan Document are</w:t>
      </w:r>
    </w:p>
    <w:p>
      <w:pPr>
        <w:spacing w:after="0" w:line="21" w:lineRule="exact"/>
        <w:rPr>
          <w:rFonts w:ascii="Times New Roman" w:cs="Times New Roman" w:eastAsia="Times New Roman" w:hAnsi="Times New Roman"/>
          <w:sz w:val="20"/>
          <w:szCs w:val="20"/>
          <w:color w:val="010000"/>
        </w:rPr>
      </w:pPr>
    </w:p>
    <w:p>
      <w:pPr>
        <w:jc w:val="both"/>
        <w:ind w:left="1500" w:firstLine="6"/>
        <w:spacing w:after="0" w:line="252" w:lineRule="auto"/>
        <w:tabs>
          <w:tab w:leader="none" w:pos="1745"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 respect to representations and warranties that contain a materiality qualification, true and correct on and as of the Fourth Amendment Effective Date and (ii) with respect to representations and warranties that do not contain a materiality qualification, true and correct in all material respects on and as of the Fourth Amendment Effective Date, except to the extent that such representations and warranties specifically refer to an earlier date, in which case they are (x) with respect to representations and warranties that contain a materiality qualification, true and correct on and as of such earlier date and</w:t>
      </w:r>
    </w:p>
    <w:p>
      <w:pPr>
        <w:ind w:left="1500" w:firstLine="6"/>
        <w:spacing w:after="0" w:line="246" w:lineRule="auto"/>
        <w:tabs>
          <w:tab w:leader="none" w:pos="1803"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representations and warranties that do not contain a materiality qualification, true and correct in all material respects on and as of such earlier date.</w:t>
      </w:r>
    </w:p>
    <w:p>
      <w:pPr>
        <w:spacing w:after="0" w:line="181" w:lineRule="exact"/>
        <w:rPr>
          <w:rFonts w:ascii="Times New Roman" w:cs="Times New Roman" w:eastAsia="Times New Roman" w:hAnsi="Times New Roman"/>
          <w:sz w:val="20"/>
          <w:szCs w:val="20"/>
          <w:color w:val="auto"/>
        </w:rPr>
      </w:pPr>
    </w:p>
    <w:p>
      <w:pPr>
        <w:ind w:left="1500" w:hanging="743"/>
        <w:spacing w:after="0" w:line="269" w:lineRule="auto"/>
        <w:tabs>
          <w:tab w:leader="none" w:pos="150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As of the Fourth Amendment Effective Date, no event has occurred and is continuing which constitutes a Default or an Event of Default.</w:t>
      </w:r>
    </w:p>
    <w:p>
      <w:pPr>
        <w:spacing w:after="0" w:line="159" w:lineRule="exact"/>
        <w:rPr>
          <w:rFonts w:ascii="Times New Roman" w:cs="Times New Roman" w:eastAsia="Times New Roman" w:hAnsi="Times New Roman"/>
          <w:sz w:val="20"/>
          <w:szCs w:val="20"/>
          <w:color w:val="010000"/>
        </w:rPr>
      </w:pPr>
    </w:p>
    <w:p>
      <w:pPr>
        <w:ind w:left="1500" w:hanging="743"/>
        <w:spacing w:after="0" w:line="269" w:lineRule="auto"/>
        <w:tabs>
          <w:tab w:leader="none" w:pos="1500" w:val="left"/>
        </w:tabs>
        <w:numPr>
          <w:ilvl w:val="0"/>
          <w:numId w:val="7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Obligations are not reduced or modified by this Amendment and are not subject to any offsets, defenses or counterclaims.</w:t>
      </w:r>
    </w:p>
    <w:p>
      <w:pPr>
        <w:spacing w:after="0" w:line="155" w:lineRule="exact"/>
        <w:rPr>
          <w:sz w:val="20"/>
          <w:szCs w:val="20"/>
          <w:color w:val="auto"/>
        </w:rPr>
      </w:pPr>
    </w:p>
    <w:p>
      <w:pPr>
        <w:jc w:val="both"/>
        <w:ind w:left="760" w:hanging="748"/>
        <w:spacing w:after="0" w:line="250"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3.3</w:t>
      </w:r>
      <w:r>
        <w:rPr>
          <w:sz w:val="20"/>
          <w:szCs w:val="20"/>
          <w:color w:val="auto"/>
        </w:rPr>
        <w:tab/>
      </w:r>
      <w:r>
        <w:rPr>
          <w:rFonts w:ascii="Times New Roman" w:cs="Times New Roman" w:eastAsia="Times New Roman" w:hAnsi="Times New Roman"/>
          <w:sz w:val="20"/>
          <w:szCs w:val="20"/>
          <w:b w:val="1"/>
          <w:bCs w:val="1"/>
          <w:u w:val="single" w:color="auto"/>
          <w:color w:val="auto"/>
        </w:rPr>
        <w:t>Reaffirmation of Obligations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on behalf of itself and each other Loan Party, hereby ratifies the Credit Agreement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and each other Loan Document, and acknowledges and reaffirms (a) that each Loan Party is bound by all terms of the Credit Agreement and each such Loan Document applicable to it and (b) that each Loan Party is responsible for the observance and full performance of its respective Obligations.</w:t>
      </w:r>
    </w:p>
    <w:p>
      <w:pPr>
        <w:spacing w:after="0" w:line="17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b w:val="1"/>
          <w:bCs w:val="1"/>
          <w:color w:val="010000"/>
        </w:rPr>
        <w:t>3.4</w:t>
      </w:r>
      <w:r>
        <w:rPr>
          <w:sz w:val="20"/>
          <w:szCs w:val="20"/>
          <w:color w:val="auto"/>
        </w:rPr>
        <w:tab/>
      </w:r>
      <w:r>
        <w:rPr>
          <w:rFonts w:ascii="Times New Roman" w:cs="Times New Roman" w:eastAsia="Times New Roman" w:hAnsi="Times New Roman"/>
          <w:sz w:val="19"/>
          <w:szCs w:val="19"/>
          <w:b w:val="1"/>
          <w:bCs w:val="1"/>
          <w:u w:val="single" w:color="auto"/>
          <w:color w:val="auto"/>
        </w:rPr>
        <w:t>Loan Document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u w:val="single" w:color="auto"/>
          <w:color w:val="auto"/>
        </w:rPr>
        <w:t xml:space="preserve"> </w:t>
      </w:r>
      <w:r>
        <w:rPr>
          <w:rFonts w:ascii="Times New Roman" w:cs="Times New Roman" w:eastAsia="Times New Roman" w:hAnsi="Times New Roman"/>
          <w:sz w:val="19"/>
          <w:szCs w:val="19"/>
          <w:color w:val="auto"/>
        </w:rPr>
        <w:t>This Amendment shall constitute a Loan Document under the terms of the Credit Agreement.</w:t>
      </w:r>
    </w:p>
    <w:p>
      <w:pPr>
        <w:spacing w:after="0" w:line="216"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3.5</w:t>
      </w:r>
      <w:r>
        <w:rPr>
          <w:sz w:val="20"/>
          <w:szCs w:val="20"/>
          <w:color w:val="auto"/>
        </w:rPr>
        <w:tab/>
      </w:r>
      <w:r>
        <w:rPr>
          <w:rFonts w:ascii="Times New Roman" w:cs="Times New Roman" w:eastAsia="Times New Roman" w:hAnsi="Times New Roman"/>
          <w:sz w:val="20"/>
          <w:szCs w:val="20"/>
          <w:b w:val="1"/>
          <w:bCs w:val="1"/>
          <w:u w:val="single" w:color="auto"/>
          <w:color w:val="auto"/>
        </w:rPr>
        <w:t>Expenses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agrees to pay all reasonable and documented out-of-pocket costs and expenses of the Administrative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Agent in connection with the preparation, execution and delivery of this Amendment, including without limitation the reasonable and documented fees and expenses of the Administrative Agent’s legal counsel.</w:t>
      </w:r>
    </w:p>
    <w:p>
      <w:pPr>
        <w:spacing w:after="0" w:line="16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3.6</w:t>
      </w:r>
      <w:r>
        <w:rPr>
          <w:sz w:val="20"/>
          <w:szCs w:val="20"/>
          <w:color w:val="auto"/>
        </w:rPr>
        <w:tab/>
      </w:r>
      <w:r>
        <w:rPr>
          <w:rFonts w:ascii="Times New Roman" w:cs="Times New Roman" w:eastAsia="Times New Roman" w:hAnsi="Times New Roman"/>
          <w:sz w:val="20"/>
          <w:szCs w:val="20"/>
          <w:b w:val="1"/>
          <w:bCs w:val="1"/>
          <w:u w:val="single" w:color="auto"/>
          <w:color w:val="auto"/>
        </w:rPr>
        <w:t>Further Assurances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Company agrees to promptly take such action, upon the request of the Administrative Agent, as is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necessary to carry out the intent of this Amendment.</w:t>
      </w:r>
    </w:p>
    <w:p>
      <w:pPr>
        <w:spacing w:after="0" w:line="152"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3.7</w:t>
      </w:r>
      <w:r>
        <w:rPr>
          <w:sz w:val="20"/>
          <w:szCs w:val="20"/>
          <w:color w:val="auto"/>
        </w:rPr>
        <w:tab/>
      </w:r>
      <w:r>
        <w:rPr>
          <w:rFonts w:ascii="Times New Roman" w:cs="Times New Roman" w:eastAsia="Times New Roman" w:hAnsi="Times New Roman"/>
          <w:sz w:val="20"/>
          <w:szCs w:val="20"/>
          <w:b w:val="1"/>
          <w:bCs w:val="1"/>
          <w:u w:val="single" w:color="auto"/>
          <w:color w:val="auto"/>
        </w:rPr>
        <w:t>Entirety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This Amendment and the other Loan Documents embody the entire agreement among the parties hereto and supersede all</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prior agreements and understandings, oral or written, if any, relating to the subject matter hereof.</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Fourth Amendment to Credit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#526328811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ind w:left="760" w:hanging="748"/>
        <w:spacing w:after="0" w:line="242"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3.8</w:t>
      </w:r>
      <w:r>
        <w:rPr>
          <w:sz w:val="20"/>
          <w:szCs w:val="20"/>
          <w:color w:val="auto"/>
        </w:rPr>
        <w:tab/>
      </w:r>
      <w:r>
        <w:rPr>
          <w:rFonts w:ascii="Times New Roman" w:cs="Times New Roman" w:eastAsia="Times New Roman" w:hAnsi="Times New Roman"/>
          <w:sz w:val="20"/>
          <w:szCs w:val="20"/>
          <w:b w:val="1"/>
          <w:bCs w:val="1"/>
          <w:u w:val="single" w:color="auto"/>
          <w:color w:val="auto"/>
        </w:rPr>
        <w:t>Counterparts; Delivery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This Amendment may be in the form of an Electronic Record and may be executed using Electronic</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 xml:space="preserve">Signatures (including, without limitation, facsimile and .pdf) and shall be considered an original, and shall have the same legal effect, validity and enforceability as a paper record. This Amendment may be executed in as many counterparts as necessary or convenient, including both paper and electronic counterparts, but all such counterparts are one and the same Amendment. For the avoidance of doubt, the authorization under this paragraph may include, without limitation, use or acceptance by the Administrative Agent of a manually signed paper Communication which has been converted into electronic form (such as scanned into PDF format), or an electronically signed Communication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limiting the foregoing, (a) to the extent the Administrative Agent has agreed to accept such Electronic Signature, the Administrative Agent shall be entitled to rely on any such Electronic Signature without further verification and (b) upon the request of the Administrative Agent any Electronic Signature shall be promptly followed by a manually executed, original counterpart.</w:t>
      </w:r>
    </w:p>
    <w:p>
      <w:pPr>
        <w:spacing w:after="0" w:line="185" w:lineRule="exact"/>
        <w:rPr>
          <w:sz w:val="20"/>
          <w:szCs w:val="20"/>
          <w:color w:val="auto"/>
        </w:rPr>
      </w:pPr>
    </w:p>
    <w:p>
      <w:pPr>
        <w:jc w:val="both"/>
        <w:ind w:left="760" w:hanging="748"/>
        <w:spacing w:after="0" w:line="256"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3.9</w:t>
      </w:r>
      <w:r>
        <w:rPr>
          <w:sz w:val="20"/>
          <w:szCs w:val="20"/>
          <w:color w:val="auto"/>
        </w:rPr>
        <w:tab/>
      </w:r>
      <w:r>
        <w:rPr>
          <w:rFonts w:ascii="Times New Roman" w:cs="Times New Roman" w:eastAsia="Times New Roman" w:hAnsi="Times New Roman"/>
          <w:sz w:val="20"/>
          <w:szCs w:val="20"/>
          <w:b w:val="1"/>
          <w:bCs w:val="1"/>
          <w:u w:val="single" w:color="auto"/>
          <w:color w:val="auto"/>
        </w:rPr>
        <w:t>GOVERNING LAW</w:t>
      </w:r>
      <w:r>
        <w:rPr>
          <w:rFonts w:ascii="Times New Roman" w:cs="Times New Roman" w:eastAsia="Times New Roman" w:hAnsi="Times New Roman"/>
          <w:sz w:val="20"/>
          <w:szCs w:val="20"/>
          <w:b w:val="1"/>
          <w:bCs w:val="1"/>
          <w:color w:val="auto"/>
        </w:rPr>
        <w:t>. THIS AMENDMENT SHALL BE GOVERNED BY, AND CONSTRUED IN ACCORDANCE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b w:val="1"/>
          <w:bCs w:val="1"/>
          <w:color w:val="auto"/>
        </w:rPr>
        <w:t>WITH, THE LAW OF THE STATE OF NEW YORK, INCLUDING FOR SUCH PURPOSES SECTIONS 5-1401 AND 5-1402 OF THE GENERAL OBLIGATIONS LAW OF THE STATE OF NEW YORK.</w:t>
      </w:r>
    </w:p>
    <w:p>
      <w:pPr>
        <w:spacing w:after="0" w:line="169"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3.10</w:t>
      </w:r>
      <w:r>
        <w:rPr>
          <w:sz w:val="20"/>
          <w:szCs w:val="20"/>
          <w:color w:val="auto"/>
        </w:rPr>
        <w:tab/>
      </w:r>
      <w:r>
        <w:rPr>
          <w:rFonts w:ascii="Times New Roman" w:cs="Times New Roman" w:eastAsia="Times New Roman" w:hAnsi="Times New Roman"/>
          <w:sz w:val="20"/>
          <w:szCs w:val="20"/>
          <w:b w:val="1"/>
          <w:bCs w:val="1"/>
          <w:u w:val="single" w:color="auto"/>
          <w:color w:val="auto"/>
        </w:rPr>
        <w:t>Successors and Assigns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This Amendment shall be binding upon and inure to the benefit of the parties hereto and their respective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successors and permitted assigns.</w:t>
      </w:r>
    </w:p>
    <w:p>
      <w:pPr>
        <w:spacing w:after="0" w:line="152" w:lineRule="exact"/>
        <w:rPr>
          <w:sz w:val="20"/>
          <w:szCs w:val="20"/>
          <w:color w:val="auto"/>
        </w:rPr>
      </w:pPr>
    </w:p>
    <w:p>
      <w:pPr>
        <w:jc w:val="both"/>
        <w:ind w:left="760" w:hanging="748"/>
        <w:spacing w:after="0" w:line="273" w:lineRule="auto"/>
        <w:tabs>
          <w:tab w:leader="none" w:pos="740" w:val="left"/>
        </w:tabs>
        <w:rPr>
          <w:sz w:val="20"/>
          <w:szCs w:val="20"/>
          <w:color w:val="auto"/>
        </w:rPr>
      </w:pPr>
      <w:r>
        <w:rPr>
          <w:rFonts w:ascii="Times New Roman" w:cs="Times New Roman" w:eastAsia="Times New Roman" w:hAnsi="Times New Roman"/>
          <w:sz w:val="20"/>
          <w:szCs w:val="20"/>
          <w:b w:val="1"/>
          <w:bCs w:val="1"/>
          <w:color w:val="010000"/>
        </w:rPr>
        <w:t>3.11</w:t>
      </w:r>
      <w:r>
        <w:rPr>
          <w:sz w:val="20"/>
          <w:szCs w:val="20"/>
          <w:color w:val="auto"/>
        </w:rPr>
        <w:tab/>
      </w:r>
      <w:r>
        <w:rPr>
          <w:rFonts w:ascii="Times New Roman" w:cs="Times New Roman" w:eastAsia="Times New Roman" w:hAnsi="Times New Roman"/>
          <w:sz w:val="20"/>
          <w:szCs w:val="20"/>
          <w:b w:val="1"/>
          <w:bCs w:val="1"/>
          <w:u w:val="single" w:color="auto"/>
          <w:color w:val="auto"/>
        </w:rPr>
        <w:t>Consent to Jurisdiction; Service of Process; Waiver of Jury Trial</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The jurisdiction, service of process and waiver of jury trial</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20"/>
          <w:szCs w:val="20"/>
          <w:color w:val="auto"/>
        </w:rPr>
        <w:t xml:space="preserve">provisions set forth in Sections 10.14 and 10.15 of the Credit Agreement are hereby incorporated by reference,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on the date first above written.</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THE HAIN CELESTIAL GROUP, INC.</w:t>
      </w:r>
    </w:p>
    <w:p>
      <w:pPr>
        <w:spacing w:after="0" w:line="22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Lee A. Boyce</w:t>
      </w:r>
      <w:r>
        <w:rPr>
          <w:rFonts w:ascii="Times New Roman" w:cs="Times New Roman" w:eastAsia="Times New Roman" w:hAnsi="Times New Roman"/>
          <w:sz w:val="20"/>
          <w:szCs w:val="20"/>
          <w:u w:val="single" w:color="auto"/>
          <w:color w:val="FFFFFF"/>
        </w:rPr>
        <w:t>_________________________</w:t>
      </w:r>
    </w:p>
    <w:p>
      <w:pPr>
        <w:spacing w:after="0" w:line="21" w:lineRule="exact"/>
        <w:rPr>
          <w:sz w:val="20"/>
          <w:szCs w:val="20"/>
          <w:color w:val="auto"/>
        </w:rPr>
      </w:pPr>
    </w:p>
    <w:p>
      <w:pPr>
        <w:ind w:left="5220"/>
        <w:spacing w:after="0"/>
        <w:tabs>
          <w:tab w:leader="none" w:pos="604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20"/>
          <w:szCs w:val="20"/>
          <w:color w:val="auto"/>
        </w:rPr>
        <w:t>Lee A. Boyce</w:t>
      </w:r>
    </w:p>
    <w:p>
      <w:pPr>
        <w:ind w:left="5220"/>
        <w:spacing w:after="0"/>
        <w:tabs>
          <w:tab w:leader="none" w:pos="604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[Hain] Fourth Amendment to Credit Agreement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#526328811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7" w:name="page158"/>
    <w:bookmarkEnd w:id="157"/>
    <w:p>
      <w:pPr>
        <w:ind w:left="3200"/>
        <w:spacing w:after="0"/>
        <w:rPr>
          <w:sz w:val="20"/>
          <w:szCs w:val="20"/>
          <w:color w:val="auto"/>
        </w:rPr>
      </w:pPr>
      <w:r>
        <w:rPr>
          <w:rFonts w:ascii="Times New Roman" w:cs="Times New Roman" w:eastAsia="Times New Roman" w:hAnsi="Times New Roman"/>
          <w:sz w:val="20"/>
          <w:szCs w:val="20"/>
          <w:b w:val="1"/>
          <w:bCs w:val="1"/>
          <w:u w:val="single" w:color="auto"/>
          <w:color w:val="auto"/>
        </w:rPr>
        <w:t>ADMINISTRATIVE AGENT</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the Administrative Agent</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By:_</w:t>
      </w:r>
      <w:r>
        <w:rPr>
          <w:rFonts w:ascii="Times New Roman" w:cs="Times New Roman" w:eastAsia="Times New Roman" w:hAnsi="Times New Roman"/>
          <w:sz w:val="20"/>
          <w:szCs w:val="20"/>
          <w:u w:val="single" w:color="auto"/>
          <w:color w:val="auto"/>
        </w:rPr>
        <w:t>/s/ DeWayne D. Rosse</w:t>
      </w:r>
      <w:r>
        <w:rPr>
          <w:rFonts w:ascii="Times New Roman" w:cs="Times New Roman" w:eastAsia="Times New Roman" w:hAnsi="Times New Roman"/>
          <w:sz w:val="20"/>
          <w:szCs w:val="20"/>
          <w:u w:val="single" w:color="auto"/>
          <w:color w:val="FFFFFF"/>
        </w:rPr>
        <w:t>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DeWayne D. Rosse</w:t>
      </w:r>
    </w:p>
    <w:p>
      <w:pPr>
        <w:ind w:left="3540"/>
        <w:spacing w:after="0"/>
        <w:rPr>
          <w:sz w:val="20"/>
          <w:szCs w:val="20"/>
          <w:color w:val="auto"/>
        </w:rPr>
      </w:pPr>
      <w:r>
        <w:rPr>
          <w:rFonts w:ascii="Times New Roman" w:cs="Times New Roman" w:eastAsia="Times New Roman" w:hAnsi="Times New Roman"/>
          <w:sz w:val="20"/>
          <w:szCs w:val="20"/>
          <w:color w:val="auto"/>
        </w:rPr>
        <w:t>Title: Assistant Vice President</w:t>
      </w: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8" w:name="page159"/>
    <w:bookmarkEnd w:id="158"/>
    <w:p>
      <w:pPr>
        <w:ind w:left="3200"/>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Jana L. Baker</w:t>
      </w:r>
      <w:r>
        <w:rPr>
          <w:rFonts w:ascii="Times New Roman" w:cs="Times New Roman" w:eastAsia="Times New Roman" w:hAnsi="Times New Roman"/>
          <w:sz w:val="20"/>
          <w:szCs w:val="20"/>
          <w:u w:val="single" w:color="auto"/>
          <w:color w:val="FFFFFF"/>
        </w:rPr>
        <w:t>_______________________________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Jana L. Baker</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549275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59" w:name="page160"/>
    <w:bookmarkEnd w:id="159"/>
    <w:p>
      <w:pPr>
        <w:ind w:left="3200"/>
        <w:spacing w:after="0"/>
        <w:rPr>
          <w:sz w:val="20"/>
          <w:szCs w:val="20"/>
          <w:color w:val="auto"/>
        </w:rPr>
      </w:pPr>
      <w:r>
        <w:rPr>
          <w:rFonts w:ascii="Times New Roman" w:cs="Times New Roman" w:eastAsia="Times New Roman" w:hAnsi="Times New Roman"/>
          <w:sz w:val="20"/>
          <w:szCs w:val="20"/>
          <w:b w:val="1"/>
          <w:bCs w:val="1"/>
          <w:color w:val="auto"/>
        </w:rPr>
        <w:t>CITIZENS BANK, N.A.</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DeVivo</w:t>
      </w:r>
      <w:r>
        <w:rPr>
          <w:rFonts w:ascii="Times New Roman" w:cs="Times New Roman" w:eastAsia="Times New Roman" w:hAnsi="Times New Roman"/>
          <w:sz w:val="20"/>
          <w:szCs w:val="20"/>
          <w:u w:val="single" w:color="auto"/>
          <w:color w:val="FFFFFF"/>
        </w:rPr>
        <w:t>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Michael De Vivo</w:t>
      </w:r>
    </w:p>
    <w:p>
      <w:pPr>
        <w:ind w:left="3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0" w:name="page161"/>
    <w:bookmarkEnd w:id="160"/>
    <w:p>
      <w:pPr>
        <w:ind w:left="3200"/>
        <w:spacing w:after="0"/>
        <w:rPr>
          <w:sz w:val="20"/>
          <w:szCs w:val="20"/>
          <w:color w:val="auto"/>
        </w:rPr>
      </w:pPr>
      <w:r>
        <w:rPr>
          <w:rFonts w:ascii="Times New Roman" w:cs="Times New Roman" w:eastAsia="Times New Roman" w:hAnsi="Times New Roman"/>
          <w:sz w:val="20"/>
          <w:szCs w:val="20"/>
          <w:b w:val="1"/>
          <w:bCs w:val="1"/>
          <w:color w:val="auto"/>
        </w:rPr>
        <w:t>WELLS FARGO BANK, NATIONAL</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ASSOCIATION,</w:t>
      </w: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Michael Zick</w:t>
      </w:r>
      <w:r>
        <w:rPr>
          <w:rFonts w:ascii="Times New Roman" w:cs="Times New Roman" w:eastAsia="Times New Roman" w:hAnsi="Times New Roman"/>
          <w:sz w:val="20"/>
          <w:szCs w:val="20"/>
          <w:u w:val="single" w:color="auto"/>
          <w:color w:val="FFFFFF"/>
        </w:rPr>
        <w:t>_______________________________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Michael Zick</w:t>
      </w:r>
    </w:p>
    <w:p>
      <w:pPr>
        <w:ind w:left="35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1" w:name="page162"/>
    <w:bookmarkEnd w:id="161"/>
    <w:p>
      <w:pPr>
        <w:ind w:left="3200"/>
        <w:spacing w:after="0"/>
        <w:rPr>
          <w:sz w:val="20"/>
          <w:szCs w:val="20"/>
          <w:color w:val="auto"/>
        </w:rPr>
      </w:pPr>
      <w:r>
        <w:rPr>
          <w:rFonts w:ascii="Times New Roman" w:cs="Times New Roman" w:eastAsia="Times New Roman" w:hAnsi="Times New Roman"/>
          <w:sz w:val="20"/>
          <w:szCs w:val="20"/>
          <w:b w:val="1"/>
          <w:bCs w:val="1"/>
          <w:color w:val="auto"/>
        </w:rPr>
        <w:t>COBANK, ACB,</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Bentley Hodges</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Bentley Hodges</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2" w:name="page163"/>
    <w:bookmarkEnd w:id="162"/>
    <w:p>
      <w:pPr>
        <w:ind w:left="3200"/>
        <w:spacing w:after="0"/>
        <w:rPr>
          <w:sz w:val="20"/>
          <w:szCs w:val="20"/>
          <w:color w:val="auto"/>
        </w:rPr>
      </w:pPr>
      <w:r>
        <w:rPr>
          <w:rFonts w:ascii="Times New Roman" w:cs="Times New Roman" w:eastAsia="Times New Roman" w:hAnsi="Times New Roman"/>
          <w:sz w:val="20"/>
          <w:szCs w:val="20"/>
          <w:b w:val="1"/>
          <w:bCs w:val="1"/>
          <w:color w:val="auto"/>
        </w:rPr>
        <w:t>BMO BANK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Lauren Buysse</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Lauren Buysse</w:t>
      </w:r>
    </w:p>
    <w:p>
      <w:pPr>
        <w:ind w:left="35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3" w:name="page164"/>
    <w:bookmarkEnd w:id="163"/>
    <w:p>
      <w:pPr>
        <w:ind w:left="3200"/>
        <w:spacing w:after="0"/>
        <w:rPr>
          <w:sz w:val="20"/>
          <w:szCs w:val="20"/>
          <w:color w:val="auto"/>
        </w:rPr>
      </w:pPr>
      <w:r>
        <w:rPr>
          <w:rFonts w:ascii="Times New Roman" w:cs="Times New Roman" w:eastAsia="Times New Roman" w:hAnsi="Times New Roman"/>
          <w:sz w:val="20"/>
          <w:szCs w:val="20"/>
          <w:b w:val="1"/>
          <w:bCs w:val="1"/>
          <w:color w:val="auto"/>
        </w:rPr>
        <w:t>COÖPERATIEVE RABOBANK U.A.,</w:t>
      </w:r>
    </w:p>
    <w:p>
      <w:pPr>
        <w:spacing w:after="0" w:line="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NEW YORK BRANCH,</w:t>
      </w:r>
    </w:p>
    <w:p>
      <w:pPr>
        <w:ind w:left="32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Irene Stephens</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Irene Stephens</w:t>
      </w:r>
    </w:p>
    <w:p>
      <w:pPr>
        <w:ind w:left="3540"/>
        <w:spacing w:after="0"/>
        <w:rPr>
          <w:sz w:val="20"/>
          <w:szCs w:val="20"/>
          <w:color w:val="auto"/>
        </w:rPr>
      </w:pPr>
      <w:r>
        <w:rPr>
          <w:rFonts w:ascii="Times New Roman" w:cs="Times New Roman" w:eastAsia="Times New Roman" w:hAnsi="Times New Roman"/>
          <w:sz w:val="20"/>
          <w:szCs w:val="20"/>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Elizabeth Kleopoulos</w:t>
      </w:r>
      <w:r>
        <w:rPr>
          <w:rFonts w:ascii="Times New Roman" w:cs="Times New Roman" w:eastAsia="Times New Roman" w:hAnsi="Times New Roman"/>
          <w:sz w:val="20"/>
          <w:szCs w:val="20"/>
          <w:u w:val="single" w:color="auto"/>
          <w:color w:val="FFFFFF"/>
        </w:rPr>
        <w:t>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Elizabeth Kleopoulos</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4" w:name="page165"/>
    <w:bookmarkEnd w:id="164"/>
    <w:p>
      <w:pPr>
        <w:ind w:left="3200"/>
        <w:spacing w:after="0"/>
        <w:rPr>
          <w:sz w:val="20"/>
          <w:szCs w:val="20"/>
          <w:color w:val="auto"/>
        </w:rPr>
      </w:pPr>
      <w:r>
        <w:rPr>
          <w:rFonts w:ascii="Times New Roman" w:cs="Times New Roman" w:eastAsia="Times New Roman" w:hAnsi="Times New Roman"/>
          <w:sz w:val="20"/>
          <w:szCs w:val="20"/>
          <w:b w:val="1"/>
          <w:bCs w:val="1"/>
          <w:color w:val="auto"/>
        </w:rPr>
        <w:t>FARM CREDIT EAST, ACA,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Eric Pohlman</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Eric Pohlman</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5" w:name="page166"/>
    <w:bookmarkEnd w:id="165"/>
    <w:p>
      <w:pPr>
        <w:ind w:left="3200"/>
        <w:spacing w:after="0"/>
        <w:rPr>
          <w:sz w:val="20"/>
          <w:szCs w:val="20"/>
          <w:color w:val="auto"/>
        </w:rPr>
      </w:pPr>
      <w:r>
        <w:rPr>
          <w:rFonts w:ascii="Times New Roman" w:cs="Times New Roman" w:eastAsia="Times New Roman" w:hAnsi="Times New Roman"/>
          <w:sz w:val="20"/>
          <w:szCs w:val="20"/>
          <w:b w:val="1"/>
          <w:bCs w:val="1"/>
          <w:color w:val="auto"/>
        </w:rPr>
        <w:t>JPMorgan Chase Bank,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Scott W. Downs</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Scott W. Downs</w:t>
      </w:r>
    </w:p>
    <w:p>
      <w:pPr>
        <w:ind w:left="35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6" w:name="page167"/>
    <w:bookmarkEnd w:id="166"/>
    <w:p>
      <w:pPr>
        <w:ind w:left="3200"/>
        <w:spacing w:after="0"/>
        <w:rPr>
          <w:sz w:val="20"/>
          <w:szCs w:val="20"/>
          <w:color w:val="auto"/>
        </w:rPr>
      </w:pPr>
      <w:r>
        <w:rPr>
          <w:rFonts w:ascii="Times New Roman" w:cs="Times New Roman" w:eastAsia="Times New Roman" w:hAnsi="Times New Roman"/>
          <w:sz w:val="20"/>
          <w:szCs w:val="20"/>
          <w:b w:val="1"/>
          <w:bCs w:val="1"/>
          <w:color w:val="auto"/>
        </w:rPr>
        <w:t>TD BANK, N.A.,</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Uk-Sun Kim</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Uk-Sun Kim</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7" w:name="page168"/>
    <w:bookmarkEnd w:id="167"/>
    <w:p>
      <w:pPr>
        <w:ind w:left="3200"/>
        <w:spacing w:after="0"/>
        <w:rPr>
          <w:sz w:val="20"/>
          <w:szCs w:val="20"/>
          <w:color w:val="auto"/>
        </w:rPr>
      </w:pPr>
      <w:r>
        <w:rPr>
          <w:rFonts w:ascii="Times New Roman" w:cs="Times New Roman" w:eastAsia="Times New Roman" w:hAnsi="Times New Roman"/>
          <w:sz w:val="20"/>
          <w:szCs w:val="20"/>
          <w:b w:val="1"/>
          <w:bCs w:val="1"/>
          <w:color w:val="auto"/>
        </w:rPr>
        <w:t>HSBC BANK USA, NATIONAL ASSOCIATION</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Dennis Tybor</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Dennis Tybor (23307)</w:t>
      </w:r>
    </w:p>
    <w:p>
      <w:pPr>
        <w:ind w:left="35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8" w:name="page169"/>
    <w:bookmarkEnd w:id="168"/>
    <w:p>
      <w:pPr>
        <w:ind w:left="3200"/>
        <w:spacing w:after="0"/>
        <w:rPr>
          <w:sz w:val="20"/>
          <w:szCs w:val="20"/>
          <w:color w:val="auto"/>
        </w:rPr>
      </w:pPr>
      <w:r>
        <w:rPr>
          <w:rFonts w:ascii="Times New Roman" w:cs="Times New Roman" w:eastAsia="Times New Roman" w:hAnsi="Times New Roman"/>
          <w:sz w:val="20"/>
          <w:szCs w:val="20"/>
          <w:b w:val="1"/>
          <w:bCs w:val="1"/>
          <w:color w:val="auto"/>
        </w:rPr>
        <w:t>BARCLAYS BANK PLC,</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Ritam Bhalla</w:t>
      </w:r>
      <w:r>
        <w:rPr>
          <w:rFonts w:ascii="Times New Roman" w:cs="Times New Roman" w:eastAsia="Times New Roman" w:hAnsi="Times New Roman"/>
          <w:sz w:val="20"/>
          <w:szCs w:val="20"/>
          <w:u w:val="single" w:color="auto"/>
          <w:color w:val="FFFFFF"/>
        </w:rPr>
        <w:t>_____________________________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Ritam Bhalla</w:t>
      </w:r>
    </w:p>
    <w:p>
      <w:pPr>
        <w:ind w:left="354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69" w:name="page170"/>
    <w:bookmarkEnd w:id="169"/>
    <w:p>
      <w:pPr>
        <w:ind w:left="3200"/>
        <w:spacing w:after="0"/>
        <w:rPr>
          <w:sz w:val="20"/>
          <w:szCs w:val="20"/>
          <w:color w:val="auto"/>
        </w:rPr>
      </w:pPr>
      <w:r>
        <w:rPr>
          <w:rFonts w:ascii="Times New Roman" w:cs="Times New Roman" w:eastAsia="Times New Roman" w:hAnsi="Times New Roman"/>
          <w:sz w:val="20"/>
          <w:szCs w:val="20"/>
          <w:b w:val="1"/>
          <w:bCs w:val="1"/>
          <w:color w:val="auto"/>
        </w:rPr>
        <w:t>AGFIRST FARM CREDIT BANK,</w:t>
      </w:r>
    </w:p>
    <w:p>
      <w:pPr>
        <w:spacing w:after="0" w:line="26"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3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Brandon Waring</w:t>
      </w:r>
      <w:r>
        <w:rPr>
          <w:rFonts w:ascii="Times New Roman" w:cs="Times New Roman" w:eastAsia="Times New Roman" w:hAnsi="Times New Roman"/>
          <w:sz w:val="20"/>
          <w:szCs w:val="20"/>
          <w:u w:val="single" w:color="auto"/>
          <w:color w:val="FFFFFF"/>
        </w:rPr>
        <w:t>____________________________</w:t>
      </w:r>
    </w:p>
    <w:p>
      <w:pPr>
        <w:spacing w:after="0" w:line="2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0"/>
          <w:szCs w:val="20"/>
          <w:color w:val="auto"/>
        </w:rPr>
        <w:t>Name: Brandon Waring</w:t>
      </w:r>
    </w:p>
    <w:p>
      <w:pPr>
        <w:ind w:left="3540"/>
        <w:spacing w:after="0"/>
        <w:rPr>
          <w:sz w:val="20"/>
          <w:szCs w:val="20"/>
          <w:color w:val="auto"/>
        </w:rPr>
      </w:pPr>
      <w:r>
        <w:rPr>
          <w:rFonts w:ascii="Times New Roman" w:cs="Times New Roman" w:eastAsia="Times New Roman" w:hAnsi="Times New Roman"/>
          <w:sz w:val="20"/>
          <w:szCs w:val="20"/>
          <w:color w:val="auto"/>
        </w:rPr>
        <w:t>Title: VP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Hain Celestial Group</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Fourth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463550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170" w:name="page171"/>
    <w:bookmarkEnd w:id="170"/>
    <w:p>
      <w:pPr>
        <w:jc w:val="right"/>
        <w:ind w:left="760"/>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CONFORMED THROUGH THIRD</w:t>
      </w:r>
      <w:r>
        <w:rPr>
          <w:rFonts w:ascii="Times New Roman" w:cs="Times New Roman" w:eastAsia="Times New Roman" w:hAnsi="Times New Roman"/>
          <w:sz w:val="18"/>
          <w:szCs w:val="18"/>
          <w:b w:val="1"/>
          <w:bCs w:val="1"/>
          <w:u w:val="single" w:color="auto"/>
          <w:color w:val="0000FF"/>
        </w:rPr>
        <w:t>EXHIBIT A TO FOURTH</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AMENDMENT TO FOURTH AMENDED AND RESTATED CREDIT</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color w:val="000000"/>
        </w:rPr>
        <w:t xml:space="preserve">AGREEMENT, DATED AS OF </w:t>
      </w:r>
      <w:r>
        <w:rPr>
          <w:rFonts w:ascii="Times New Roman" w:cs="Times New Roman" w:eastAsia="Times New Roman" w:hAnsi="Times New Roman"/>
          <w:sz w:val="18"/>
          <w:szCs w:val="18"/>
          <w:b w:val="1"/>
          <w:bCs w:val="1"/>
          <w:color w:val="FF0000"/>
          <w:strike w:val="1"/>
        </w:rPr>
        <w:t>MAY 5</w:t>
      </w:r>
      <w:r>
        <w:rPr>
          <w:rFonts w:ascii="Times New Roman" w:cs="Times New Roman" w:eastAsia="Times New Roman" w:hAnsi="Times New Roman"/>
          <w:sz w:val="18"/>
          <w:szCs w:val="18"/>
          <w:b w:val="1"/>
          <w:bCs w:val="1"/>
          <w:u w:val="single" w:color="auto"/>
          <w:color w:val="0000FF"/>
        </w:rPr>
        <w:t>SEPTEMBER 11</w:t>
      </w:r>
      <w:r>
        <w:rPr>
          <w:rFonts w:ascii="Times New Roman" w:cs="Times New Roman" w:eastAsia="Times New Roman" w:hAnsi="Times New Roman"/>
          <w:sz w:val="18"/>
          <w:szCs w:val="18"/>
          <w:b w:val="1"/>
          <w:bCs w:val="1"/>
          <w:color w:val="000000"/>
        </w:rPr>
        <w:t>, 2025</w:t>
      </w:r>
    </w:p>
    <w:p>
      <w:pPr>
        <w:spacing w:after="0" w:line="1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Deal CUSIP Number: 40521VAN7</w:t>
      </w:r>
    </w:p>
    <w:p>
      <w:pPr>
        <w:spacing w:after="0" w:line="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U.S. Revolving Credit Facility CUSIP Number: 40521VAQ0</w:t>
      </w:r>
    </w:p>
    <w:p>
      <w:pPr>
        <w:jc w:val="right"/>
        <w:spacing w:after="0" w:line="237" w:lineRule="auto"/>
        <w:rPr>
          <w:sz w:val="20"/>
          <w:szCs w:val="20"/>
          <w:color w:val="auto"/>
        </w:rPr>
      </w:pPr>
      <w:r>
        <w:rPr>
          <w:rFonts w:ascii="Times New Roman" w:cs="Times New Roman" w:eastAsia="Times New Roman" w:hAnsi="Times New Roman"/>
          <w:sz w:val="19"/>
          <w:szCs w:val="19"/>
          <w:color w:val="auto"/>
        </w:rPr>
        <w:t>Global Revolving Credit Facility CUSIP Number: 40521VAP2</w:t>
      </w:r>
    </w:p>
    <w:p>
      <w:pPr>
        <w:jc w:val="right"/>
        <w:spacing w:after="0"/>
        <w:rPr>
          <w:sz w:val="20"/>
          <w:szCs w:val="20"/>
          <w:color w:val="auto"/>
        </w:rPr>
      </w:pPr>
      <w:r>
        <w:rPr>
          <w:rFonts w:ascii="Times New Roman" w:cs="Times New Roman" w:eastAsia="Times New Roman" w:hAnsi="Times New Roman"/>
          <w:sz w:val="19"/>
          <w:szCs w:val="19"/>
          <w:color w:val="auto"/>
        </w:rPr>
        <w:t>Term Facility CUSIP Number: 40521VAR8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514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4">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FOURTH AMENDED AND RESTATED CREDIT AGREEMENT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dated as of December 22, 2021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among</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THE HAIN CELESTIAL GROUP, INC.</w:t>
      </w:r>
      <w:r>
        <w:rPr>
          <w:rFonts w:ascii="Times New Roman" w:cs="Times New Roman" w:eastAsia="Times New Roman" w:hAnsi="Times New Roman"/>
          <w:sz w:val="19"/>
          <w:szCs w:val="19"/>
          <w:color w:val="auto"/>
        </w:rPr>
        <w: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the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CERTAIN SUBSIDIARIES OF THE COMPANY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FROM TIME TO TIME PARTY HERETO</w:t>
      </w:r>
      <w:r>
        <w:rPr>
          <w:rFonts w:ascii="Times New Roman" w:cs="Times New Roman" w:eastAsia="Times New Roman" w:hAnsi="Times New Roman"/>
          <w:sz w:val="19"/>
          <w:szCs w:val="19"/>
          <w:color w:val="auto"/>
        </w:rPr>
        <w:t>,</w:t>
      </w:r>
    </w:p>
    <w:p>
      <w:pPr>
        <w:jc w:val="center"/>
        <w:spacing w:after="0"/>
        <w:rPr>
          <w:sz w:val="20"/>
          <w:szCs w:val="20"/>
          <w:color w:val="auto"/>
        </w:rPr>
      </w:pPr>
      <w:r>
        <w:rPr>
          <w:rFonts w:ascii="Times New Roman" w:cs="Times New Roman" w:eastAsia="Times New Roman" w:hAnsi="Times New Roman"/>
          <w:sz w:val="19"/>
          <w:szCs w:val="19"/>
          <w:color w:val="auto"/>
        </w:rPr>
        <w:t>as Designated Borrowers,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BANK OF AMERICA, N.A.</w:t>
      </w:r>
      <w:r>
        <w:rPr>
          <w:rFonts w:ascii="Times New Roman" w:cs="Times New Roman" w:eastAsia="Times New Roman" w:hAnsi="Times New Roman"/>
          <w:sz w:val="19"/>
          <w:szCs w:val="19"/>
          <w:color w:val="auto"/>
        </w:rPr>
        <w:t>,</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Administrative Agent, Swing Line Lender</w:t>
      </w:r>
    </w:p>
    <w:p>
      <w:pPr>
        <w:jc w:val="center"/>
        <w:spacing w:after="0"/>
        <w:rPr>
          <w:sz w:val="20"/>
          <w:szCs w:val="20"/>
          <w:color w:val="auto"/>
        </w:rPr>
      </w:pPr>
      <w:r>
        <w:rPr>
          <w:rFonts w:ascii="Times New Roman" w:cs="Times New Roman" w:eastAsia="Times New Roman" w:hAnsi="Times New Roman"/>
          <w:sz w:val="19"/>
          <w:szCs w:val="19"/>
          <w:color w:val="auto"/>
        </w:rPr>
        <w:t>and L/C Issuer,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WELLS FARGO BANK, N.A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ind w:left="4620"/>
        <w:spacing w:after="0" w:line="237" w:lineRule="auto"/>
        <w:rPr>
          <w:sz w:val="20"/>
          <w:szCs w:val="20"/>
          <w:color w:val="auto"/>
        </w:rPr>
      </w:pPr>
      <w:r>
        <w:rPr>
          <w:rFonts w:ascii="Times New Roman" w:cs="Times New Roman" w:eastAsia="Times New Roman" w:hAnsi="Times New Roman"/>
          <w:sz w:val="19"/>
          <w:szCs w:val="19"/>
          <w:b w:val="1"/>
          <w:bCs w:val="1"/>
          <w:color w:val="auto"/>
        </w:rPr>
        <w:t>CITIZENS BANK, N.A.</w:t>
      </w:r>
      <w:r>
        <w:rPr>
          <w:rFonts w:ascii="Times New Roman" w:cs="Times New Roman" w:eastAsia="Times New Roman" w:hAnsi="Times New Roman"/>
          <w:sz w:val="19"/>
          <w:szCs w:val="19"/>
          <w:color w:val="auto"/>
        </w:rPr>
        <w:t>,</w:t>
      </w:r>
    </w:p>
    <w:p>
      <w:pPr>
        <w:ind w:left="4620"/>
        <w:spacing w:after="0"/>
        <w:rPr>
          <w:sz w:val="20"/>
          <w:szCs w:val="20"/>
          <w:color w:val="auto"/>
        </w:rPr>
      </w:pPr>
      <w:r>
        <w:rPr>
          <w:rFonts w:ascii="Times New Roman" w:cs="Times New Roman" w:eastAsia="Times New Roman" w:hAnsi="Times New Roman"/>
          <w:sz w:val="19"/>
          <w:szCs w:val="19"/>
          <w:color w:val="auto"/>
        </w:rPr>
        <w:t>as Co-Syndication Agents,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FARM CREDIT EAST, ACA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JPMORGAN CHASE BANK, N.A.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TD BANK, N.A.</w:t>
      </w:r>
    </w:p>
    <w:p>
      <w:pPr>
        <w:jc w:val="center"/>
        <w:spacing w:after="0"/>
        <w:rPr>
          <w:sz w:val="20"/>
          <w:szCs w:val="20"/>
          <w:color w:val="auto"/>
        </w:rPr>
      </w:pPr>
      <w:r>
        <w:rPr>
          <w:rFonts w:ascii="Times New Roman" w:cs="Times New Roman" w:eastAsia="Times New Roman" w:hAnsi="Times New Roman"/>
          <w:sz w:val="20"/>
          <w:szCs w:val="20"/>
          <w:b w:val="1"/>
          <w:bCs w:val="1"/>
          <w:color w:val="auto"/>
        </w:rPr>
        <w:t>COÖPERATIEVE RABOBANK U.A., NEW YORK BRANCH</w:t>
      </w:r>
    </w:p>
    <w:p>
      <w:pPr>
        <w:jc w:val="center"/>
        <w:spacing w:after="0" w:line="233" w:lineRule="auto"/>
        <w:rPr>
          <w:sz w:val="20"/>
          <w:szCs w:val="20"/>
          <w:color w:val="auto"/>
        </w:rPr>
      </w:pPr>
      <w:r>
        <w:rPr>
          <w:rFonts w:ascii="Times New Roman" w:cs="Times New Roman" w:eastAsia="Times New Roman" w:hAnsi="Times New Roman"/>
          <w:sz w:val="20"/>
          <w:szCs w:val="20"/>
          <w:b w:val="1"/>
          <w:bCs w:val="1"/>
          <w:color w:val="auto"/>
        </w:rPr>
        <w:t>COBANK, ACB</w:t>
      </w:r>
    </w:p>
    <w:p>
      <w:pPr>
        <w:ind w:left="5480"/>
        <w:spacing w:after="0" w:line="238" w:lineRule="auto"/>
        <w:rPr>
          <w:sz w:val="20"/>
          <w:szCs w:val="20"/>
          <w:color w:val="auto"/>
        </w:rPr>
      </w:pPr>
      <w:r>
        <w:rPr>
          <w:rFonts w:ascii="Times New Roman" w:cs="Times New Roman" w:eastAsia="Times New Roman" w:hAnsi="Times New Roman"/>
          <w:sz w:val="19"/>
          <w:szCs w:val="19"/>
          <w:color w:val="auto"/>
        </w:rPr>
        <w:t>and</w:t>
      </w:r>
    </w:p>
    <w:p>
      <w:pPr>
        <w:ind w:left="4560"/>
        <w:spacing w:after="0" w:line="237" w:lineRule="auto"/>
        <w:rPr>
          <w:sz w:val="20"/>
          <w:szCs w:val="20"/>
          <w:color w:val="auto"/>
        </w:rPr>
      </w:pPr>
      <w:r>
        <w:rPr>
          <w:rFonts w:ascii="Times New Roman" w:cs="Times New Roman" w:eastAsia="Times New Roman" w:hAnsi="Times New Roman"/>
          <w:sz w:val="19"/>
          <w:szCs w:val="19"/>
          <w:b w:val="1"/>
          <w:bCs w:val="1"/>
          <w:color w:val="auto"/>
        </w:rPr>
        <w:t>BANK OF MONTREAL</w:t>
      </w:r>
      <w:r>
        <w:rPr>
          <w:rFonts w:ascii="Times New Roman" w:cs="Times New Roman" w:eastAsia="Times New Roman" w:hAnsi="Times New Roman"/>
          <w:sz w:val="19"/>
          <w:szCs w:val="19"/>
          <w:color w:val="auto"/>
        </w:rPr>
        <w:t>,</w:t>
      </w:r>
    </w:p>
    <w:p>
      <w:pPr>
        <w:ind w:left="4500"/>
        <w:spacing w:after="0"/>
        <w:rPr>
          <w:sz w:val="20"/>
          <w:szCs w:val="20"/>
          <w:color w:val="auto"/>
        </w:rPr>
      </w:pPr>
      <w:r>
        <w:rPr>
          <w:rFonts w:ascii="Times New Roman" w:cs="Times New Roman" w:eastAsia="Times New Roman" w:hAnsi="Times New Roman"/>
          <w:sz w:val="19"/>
          <w:szCs w:val="19"/>
          <w:color w:val="auto"/>
        </w:rPr>
        <w:t>as Co-Documentation Agents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and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The Other Lenders Party Hereto</w:t>
      </w:r>
    </w:p>
    <w:p>
      <w:pPr>
        <w:spacing w:after="0" w:line="1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9"/>
          <w:szCs w:val="19"/>
          <w:color w:val="auto"/>
        </w:rPr>
        <w:t>_________________________________________________</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BOFA SECURITIES, INC.</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WELLS FARGO SECURITIES, LLC</w:t>
      </w:r>
      <w:r>
        <w:rPr>
          <w:rFonts w:ascii="Times New Roman" w:cs="Times New Roman" w:eastAsia="Times New Roman" w:hAnsi="Times New Roman"/>
          <w:sz w:val="19"/>
          <w:szCs w:val="19"/>
          <w:color w:val="auto"/>
        </w:rPr>
        <w:t>,</w:t>
      </w:r>
    </w:p>
    <w:p>
      <w:pPr>
        <w:jc w:val="center"/>
        <w:spacing w:after="0" w:line="237" w:lineRule="auto"/>
        <w:rPr>
          <w:sz w:val="20"/>
          <w:szCs w:val="20"/>
          <w:color w:val="auto"/>
        </w:rPr>
      </w:pPr>
      <w:r>
        <w:rPr>
          <w:rFonts w:ascii="Times New Roman" w:cs="Times New Roman" w:eastAsia="Times New Roman" w:hAnsi="Times New Roman"/>
          <w:sz w:val="19"/>
          <w:szCs w:val="19"/>
          <w:color w:val="auto"/>
        </w:rPr>
        <w:t>and</w:t>
      </w:r>
    </w:p>
    <w:p>
      <w:pPr>
        <w:jc w:val="center"/>
        <w:spacing w:after="0" w:line="237" w:lineRule="auto"/>
        <w:rPr>
          <w:sz w:val="20"/>
          <w:szCs w:val="20"/>
          <w:color w:val="auto"/>
        </w:rPr>
      </w:pPr>
      <w:r>
        <w:rPr>
          <w:rFonts w:ascii="Times New Roman" w:cs="Times New Roman" w:eastAsia="Times New Roman" w:hAnsi="Times New Roman"/>
          <w:sz w:val="19"/>
          <w:szCs w:val="19"/>
          <w:b w:val="1"/>
          <w:bCs w:val="1"/>
          <w:color w:val="auto"/>
        </w:rPr>
        <w:t>CITIZENS BANK, N.A.</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as Joint Lead Arrangers and Joint Bookrunners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I. DEFINITIONS AND ACCOUNTING TERMS</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1.01</w:t>
            </w: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Defined Terms</w:t>
            </w:r>
          </w:p>
        </w:tc>
        <w:tc>
          <w:tcPr>
            <w:tcW w:w="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2060" w:type="dxa"/>
            <w:vAlign w:val="bottom"/>
          </w:tcPr>
          <w:p>
            <w:pPr>
              <w:spacing w:after="0"/>
              <w:rPr>
                <w:sz w:val="22"/>
                <w:szCs w:val="22"/>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1.02</w:t>
            </w:r>
          </w:p>
        </w:tc>
        <w:tc>
          <w:tcPr>
            <w:tcW w:w="412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Other Interpretive Provisions  </w:t>
            </w:r>
            <w:r>
              <w:rPr>
                <w:rFonts w:ascii="Times New Roman" w:cs="Times New Roman" w:eastAsia="Times New Roman" w:hAnsi="Times New Roman"/>
                <w:sz w:val="22"/>
                <w:szCs w:val="22"/>
                <w:color w:val="auto"/>
              </w:rPr>
              <w:t>42</w:t>
            </w: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1.03</w:t>
            </w:r>
          </w:p>
        </w:tc>
        <w:tc>
          <w:tcPr>
            <w:tcW w:w="20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Accounting Terms</w:t>
            </w:r>
          </w:p>
        </w:tc>
        <w:tc>
          <w:tcPr>
            <w:tcW w:w="206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43</w:t>
            </w: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1.04</w:t>
            </w: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Rounding   </w:t>
            </w:r>
            <w:r>
              <w:rPr>
                <w:rFonts w:ascii="Times New Roman" w:cs="Times New Roman" w:eastAsia="Times New Roman" w:hAnsi="Times New Roman"/>
                <w:sz w:val="22"/>
                <w:szCs w:val="22"/>
                <w:color w:val="auto"/>
              </w:rPr>
              <w:t>43</w:t>
            </w:r>
          </w:p>
        </w:tc>
        <w:tc>
          <w:tcPr>
            <w:tcW w:w="44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1.05</w:t>
            </w:r>
          </w:p>
        </w:tc>
        <w:tc>
          <w:tcPr>
            <w:tcW w:w="412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Exchange Rates; Currency Equivalents  </w:t>
            </w:r>
            <w:r>
              <w:rPr>
                <w:rFonts w:ascii="Times New Roman" w:cs="Times New Roman" w:eastAsia="Times New Roman" w:hAnsi="Times New Roman"/>
                <w:sz w:val="22"/>
                <w:szCs w:val="22"/>
                <w:color w:val="auto"/>
              </w:rPr>
              <w:t>44</w:t>
            </w: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1.06</w:t>
            </w:r>
          </w:p>
        </w:tc>
        <w:tc>
          <w:tcPr>
            <w:tcW w:w="4120" w:type="dxa"/>
            <w:vAlign w:val="bottom"/>
            <w:gridSpan w:val="3"/>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Additional Alternative Currencies  </w:t>
            </w:r>
            <w:r>
              <w:rPr>
                <w:rFonts w:ascii="Times New Roman" w:cs="Times New Roman" w:eastAsia="Times New Roman" w:hAnsi="Times New Roman"/>
                <w:sz w:val="22"/>
                <w:szCs w:val="22"/>
                <w:color w:val="auto"/>
              </w:rPr>
              <w:t>44</w:t>
            </w: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1.07</w:t>
            </w:r>
          </w:p>
        </w:tc>
        <w:tc>
          <w:tcPr>
            <w:tcW w:w="206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Change of Currency</w:t>
            </w:r>
          </w:p>
        </w:tc>
        <w:tc>
          <w:tcPr>
            <w:tcW w:w="206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45</w:t>
            </w: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1.08</w:t>
            </w:r>
          </w:p>
        </w:tc>
        <w:tc>
          <w:tcPr>
            <w:tcW w:w="162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Times of Day</w:t>
            </w:r>
          </w:p>
        </w:tc>
        <w:tc>
          <w:tcPr>
            <w:tcW w:w="4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45</w:t>
            </w:r>
          </w:p>
        </w:tc>
        <w:tc>
          <w:tcPr>
            <w:tcW w:w="2060" w:type="dxa"/>
            <w:vAlign w:val="bottom"/>
          </w:tcPr>
          <w:p>
            <w:pPr>
              <w:spacing w:after="0"/>
              <w:rPr>
                <w:sz w:val="21"/>
                <w:szCs w:val="21"/>
                <w:color w:val="auto"/>
              </w:rPr>
            </w:pPr>
          </w:p>
        </w:tc>
      </w:tr>
      <w:tr>
        <w:trPr>
          <w:trHeight w:val="2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1.09</w:t>
            </w:r>
          </w:p>
        </w:tc>
        <w:tc>
          <w:tcPr>
            <w:tcW w:w="412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Letter of Credit Amounts  </w:t>
            </w:r>
            <w:r>
              <w:rPr>
                <w:rFonts w:ascii="Times New Roman" w:cs="Times New Roman" w:eastAsia="Times New Roman" w:hAnsi="Times New Roman"/>
                <w:sz w:val="22"/>
                <w:szCs w:val="22"/>
                <w:color w:val="auto"/>
              </w:rPr>
              <w:t>45</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II. THE COMMITMENTS AND CREDIT EXTENSIONS</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2.01</w:t>
            </w:r>
          </w:p>
        </w:tc>
        <w:tc>
          <w:tcPr>
            <w:tcW w:w="174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w w:val="98"/>
              </w:rPr>
              <w:t>Committed Loans</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gridSpan w:val="2"/>
          </w:tcPr>
          <w:p>
            <w:pPr>
              <w:jc w:val="right"/>
              <w:ind w:right="9"/>
              <w:spacing w:after="0"/>
              <w:rPr>
                <w:sz w:val="20"/>
                <w:szCs w:val="20"/>
                <w:color w:val="auto"/>
              </w:rPr>
            </w:pPr>
            <w:r>
              <w:rPr>
                <w:rFonts w:ascii="Times New Roman" w:cs="Times New Roman" w:eastAsia="Times New Roman" w:hAnsi="Times New Roman"/>
                <w:sz w:val="22"/>
                <w:szCs w:val="22"/>
                <w:color w:val="auto"/>
                <w:w w:val="90"/>
              </w:rPr>
              <w:t>46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2.02</w:t>
            </w:r>
          </w:p>
        </w:tc>
        <w:tc>
          <w:tcPr>
            <w:tcW w:w="6300" w:type="dxa"/>
            <w:vAlign w:val="bottom"/>
            <w:gridSpan w:val="18"/>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Borrowings, Conversions and Continuations of Committed Loans</w:t>
            </w:r>
          </w:p>
        </w:tc>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47</w:t>
            </w: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2.03</w:t>
            </w:r>
          </w:p>
        </w:tc>
        <w:tc>
          <w:tcPr>
            <w:tcW w:w="174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Letters of Credit</w:t>
            </w:r>
          </w:p>
        </w:tc>
        <w:tc>
          <w:tcPr>
            <w:tcW w:w="420" w:type="dxa"/>
            <w:vAlign w:val="bottom"/>
            <w:gridSpan w:val="2"/>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0"/>
              </w:rPr>
              <w:t>49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2.04</w:t>
            </w:r>
          </w:p>
        </w:tc>
        <w:tc>
          <w:tcPr>
            <w:tcW w:w="174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Swing Line Loans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right"/>
              <w:ind w:right="9"/>
              <w:spacing w:after="0" w:line="243" w:lineRule="exact"/>
              <w:rPr>
                <w:sz w:val="20"/>
                <w:szCs w:val="20"/>
                <w:color w:val="auto"/>
              </w:rPr>
            </w:pPr>
            <w:r>
              <w:rPr>
                <w:rFonts w:ascii="Times New Roman" w:cs="Times New Roman" w:eastAsia="Times New Roman" w:hAnsi="Times New Roman"/>
                <w:sz w:val="22"/>
                <w:szCs w:val="22"/>
                <w:color w:val="auto"/>
                <w:w w:val="90"/>
              </w:rPr>
              <w:t>56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2.05</w:t>
            </w:r>
          </w:p>
        </w:tc>
        <w:tc>
          <w:tcPr>
            <w:tcW w:w="1740" w:type="dxa"/>
            <w:vAlign w:val="bottom"/>
            <w:gridSpan w:val="4"/>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Prepayments </w:t>
            </w:r>
            <w:r>
              <w:rPr>
                <w:rFonts w:ascii="Times New Roman" w:cs="Times New Roman" w:eastAsia="Times New Roman" w:hAnsi="Times New Roman"/>
                <w:sz w:val="22"/>
                <w:szCs w:val="22"/>
                <w:color w:val="auto"/>
              </w:rPr>
              <w:t>59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2.06</w:t>
            </w:r>
          </w:p>
        </w:tc>
        <w:tc>
          <w:tcPr>
            <w:tcW w:w="5400" w:type="dxa"/>
            <w:vAlign w:val="bottom"/>
            <w:gridSpan w:val="17"/>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Termination or Reduction of Commitments  </w:t>
            </w:r>
            <w:r>
              <w:rPr>
                <w:rFonts w:ascii="Times New Roman" w:cs="Times New Roman" w:eastAsia="Times New Roman" w:hAnsi="Times New Roman"/>
                <w:sz w:val="22"/>
                <w:szCs w:val="22"/>
                <w:color w:val="auto"/>
              </w:rPr>
              <w:t>61</w:t>
            </w: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2.07</w:t>
            </w:r>
          </w:p>
        </w:tc>
        <w:tc>
          <w:tcPr>
            <w:tcW w:w="2160" w:type="dxa"/>
            <w:vAlign w:val="bottom"/>
            <w:gridSpan w:val="6"/>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Repayment of Loans</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61</w:t>
            </w:r>
          </w:p>
        </w:tc>
        <w:tc>
          <w:tcPr>
            <w:tcW w:w="20" w:type="dxa"/>
            <w:vAlign w:val="bottom"/>
          </w:tcPr>
          <w:p>
            <w:pPr>
              <w:spacing w:after="0"/>
              <w:rPr>
                <w:sz w:val="20"/>
                <w:szCs w:val="20"/>
                <w:color w:val="auto"/>
              </w:rPr>
            </w:pPr>
          </w:p>
        </w:tc>
        <w:tc>
          <w:tcPr>
            <w:tcW w:w="20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81"/>
              </w:rPr>
              <w:t>62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2.08</w:t>
            </w:r>
          </w:p>
        </w:tc>
        <w:tc>
          <w:tcPr>
            <w:tcW w:w="85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Interest</w:t>
            </w:r>
          </w:p>
        </w:tc>
        <w:tc>
          <w:tcPr>
            <w:tcW w:w="23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62</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63</w:t>
            </w:r>
          </w:p>
        </w:tc>
        <w:tc>
          <w:tcPr>
            <w:tcW w:w="44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20" w:type="dxa"/>
            <w:vAlign w:val="bottom"/>
            <w:vMerge w:val="continue"/>
          </w:tcPr>
          <w:p>
            <w:pPr>
              <w:spacing w:after="0"/>
              <w:rPr>
                <w:sz w:val="15"/>
                <w:szCs w:val="15"/>
                <w:color w:val="auto"/>
              </w:rPr>
            </w:pPr>
          </w:p>
        </w:tc>
        <w:tc>
          <w:tcPr>
            <w:tcW w:w="850" w:type="dxa"/>
            <w:vAlign w:val="bottom"/>
            <w:vMerge w:val="continue"/>
          </w:tcPr>
          <w:p>
            <w:pPr>
              <w:spacing w:after="0"/>
              <w:rPr>
                <w:sz w:val="15"/>
                <w:szCs w:val="15"/>
                <w:color w:val="auto"/>
              </w:rPr>
            </w:pPr>
          </w:p>
        </w:tc>
        <w:tc>
          <w:tcPr>
            <w:tcW w:w="23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2.09</w:t>
            </w:r>
          </w:p>
        </w:tc>
        <w:tc>
          <w:tcPr>
            <w:tcW w:w="85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Fees</w:t>
            </w:r>
          </w:p>
        </w:tc>
        <w:tc>
          <w:tcPr>
            <w:tcW w:w="23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63</w:t>
            </w:r>
          </w:p>
        </w:tc>
        <w:tc>
          <w:tcPr>
            <w:tcW w:w="220" w:type="dxa"/>
            <w:vAlign w:val="bottom"/>
            <w:tcBorders>
              <w:bottom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0" w:type="dxa"/>
            <w:vAlign w:val="bottom"/>
            <w:vMerge w:val="continue"/>
          </w:tcPr>
          <w:p>
            <w:pPr>
              <w:spacing w:after="0"/>
              <w:rPr>
                <w:sz w:val="15"/>
                <w:szCs w:val="15"/>
                <w:color w:val="auto"/>
              </w:rPr>
            </w:pPr>
          </w:p>
        </w:tc>
        <w:tc>
          <w:tcPr>
            <w:tcW w:w="850" w:type="dxa"/>
            <w:vAlign w:val="bottom"/>
            <w:vMerge w:val="continue"/>
          </w:tcPr>
          <w:p>
            <w:pPr>
              <w:spacing w:after="0"/>
              <w:rPr>
                <w:sz w:val="15"/>
                <w:szCs w:val="15"/>
                <w:color w:val="auto"/>
              </w:rPr>
            </w:pPr>
          </w:p>
        </w:tc>
        <w:tc>
          <w:tcPr>
            <w:tcW w:w="230" w:type="dxa"/>
            <w:vAlign w:val="bottom"/>
            <w:vMerge w:val="continue"/>
          </w:tcPr>
          <w:p>
            <w:pPr>
              <w:spacing w:after="0"/>
              <w:rPr>
                <w:sz w:val="15"/>
                <w:szCs w:val="15"/>
                <w:color w:val="auto"/>
              </w:rPr>
            </w:pP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64</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2.10</w:t>
            </w:r>
          </w:p>
        </w:tc>
        <w:tc>
          <w:tcPr>
            <w:tcW w:w="1080" w:type="dxa"/>
            <w:vAlign w:val="bottom"/>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100" w:type="dxa"/>
            <w:vAlign w:val="bottom"/>
            <w:gridSpan w:val="14"/>
            <w:vMerge w:val="restart"/>
          </w:tcPr>
          <w:p>
            <w:pPr>
              <w:ind w:left="200"/>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Retroactive Adjustments </w:t>
            </w:r>
            <w:r>
              <w:rPr>
                <w:rFonts w:ascii="Times New Roman" w:cs="Times New Roman" w:eastAsia="Times New Roman" w:hAnsi="Times New Roman"/>
                <w:sz w:val="22"/>
                <w:szCs w:val="22"/>
                <w:color w:val="auto"/>
              </w:rPr>
              <w:t>64</w:t>
            </w: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300" w:type="dxa"/>
            <w:vAlign w:val="bottom"/>
            <w:gridSpan w:val="3"/>
          </w:tcPr>
          <w:p>
            <w:pPr>
              <w:ind w:left="60"/>
              <w:spacing w:after="0" w:line="191" w:lineRule="exact"/>
              <w:rPr>
                <w:sz w:val="20"/>
                <w:szCs w:val="20"/>
                <w:color w:val="auto"/>
              </w:rPr>
            </w:pPr>
            <w:r>
              <w:rPr>
                <w:rFonts w:ascii="Times New Roman" w:cs="Times New Roman" w:eastAsia="Times New Roman" w:hAnsi="Times New Roman"/>
                <w:sz w:val="22"/>
                <w:szCs w:val="22"/>
                <w:b w:val="1"/>
                <w:bCs w:val="1"/>
                <w:color w:val="auto"/>
                <w:w w:val="86"/>
              </w:rPr>
              <w:t>Computations;</w:t>
            </w:r>
          </w:p>
        </w:tc>
        <w:tc>
          <w:tcPr>
            <w:tcW w:w="4100" w:type="dxa"/>
            <w:vAlign w:val="bottom"/>
            <w:gridSpan w:val="14"/>
            <w:vMerge w:val="continue"/>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2.11</w:t>
            </w:r>
          </w:p>
        </w:tc>
        <w:tc>
          <w:tcPr>
            <w:tcW w:w="1740" w:type="dxa"/>
            <w:vAlign w:val="bottom"/>
            <w:gridSpan w:val="4"/>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Evidence of Debt</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64</w:t>
            </w:r>
          </w:p>
        </w:tc>
        <w:tc>
          <w:tcPr>
            <w:tcW w:w="20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81"/>
              </w:rPr>
              <w:t>65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2.12</w:t>
            </w:r>
          </w:p>
        </w:tc>
        <w:tc>
          <w:tcPr>
            <w:tcW w:w="1960" w:type="dxa"/>
            <w:vAlign w:val="bottom"/>
            <w:gridSpan w:val="5"/>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w w:val="95"/>
              </w:rPr>
              <w:t>Payments Generally;</w:t>
            </w:r>
          </w:p>
        </w:tc>
        <w:tc>
          <w:tcPr>
            <w:tcW w:w="200" w:type="dxa"/>
            <w:vAlign w:val="bottom"/>
            <w:tcBorders>
              <w:bottom w:val="single" w:sz="8" w:color="0000FF"/>
            </w:tcBorders>
          </w:tcPr>
          <w:p>
            <w:pPr>
              <w:spacing w:after="0" w:line="20" w:lineRule="exact"/>
              <w:rPr>
                <w:sz w:val="1"/>
                <w:szCs w:val="1"/>
                <w:color w:val="auto"/>
              </w:rPr>
            </w:pPr>
          </w:p>
        </w:tc>
        <w:tc>
          <w:tcPr>
            <w:tcW w:w="3240" w:type="dxa"/>
            <w:vAlign w:val="bottom"/>
            <w:gridSpan w:val="11"/>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Administrative Agent’s Clawback</w:t>
            </w:r>
          </w:p>
        </w:tc>
        <w:tc>
          <w:tcPr>
            <w:tcW w:w="900" w:type="dxa"/>
            <w:vAlign w:val="bottom"/>
            <w:vMerge w:val="restart"/>
          </w:tcPr>
          <w:p>
            <w:pPr>
              <w:jc w:val="right"/>
              <w:ind w:right="352"/>
              <w:spacing w:after="0" w:line="232" w:lineRule="exact"/>
              <w:rPr>
                <w:sz w:val="20"/>
                <w:szCs w:val="20"/>
                <w:color w:val="auto"/>
              </w:rPr>
            </w:pPr>
            <w:r>
              <w:rPr>
                <w:rFonts w:ascii="Times New Roman" w:cs="Times New Roman" w:eastAsia="Times New Roman" w:hAnsi="Times New Roman"/>
                <w:sz w:val="22"/>
                <w:szCs w:val="22"/>
                <w:color w:val="auto"/>
              </w:rPr>
              <w:t>65</w:t>
            </w: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96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11"/>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2.13</w:t>
            </w:r>
          </w:p>
        </w:tc>
        <w:tc>
          <w:tcPr>
            <w:tcW w:w="3260" w:type="dxa"/>
            <w:vAlign w:val="bottom"/>
            <w:gridSpan w:val="14"/>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Sharing of Payments by Lenders</w:t>
            </w:r>
          </w:p>
        </w:tc>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66</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67</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2.14</w:t>
            </w:r>
          </w:p>
        </w:tc>
        <w:tc>
          <w:tcPr>
            <w:tcW w:w="2160" w:type="dxa"/>
            <w:vAlign w:val="bottom"/>
            <w:gridSpan w:val="6"/>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w w:val="99"/>
              </w:rPr>
              <w:t>Designated Borrowers</w:t>
            </w:r>
          </w:p>
        </w:tc>
        <w:tc>
          <w:tcPr>
            <w:tcW w:w="240" w:type="dxa"/>
            <w:vAlign w:val="bottom"/>
            <w:gridSpan w:val="2"/>
            <w:vMerge w:val="restart"/>
          </w:tcPr>
          <w:p>
            <w:pPr>
              <w:jc w:val="right"/>
              <w:ind w:right="9"/>
              <w:spacing w:after="0" w:line="232" w:lineRule="exact"/>
              <w:rPr>
                <w:sz w:val="20"/>
                <w:szCs w:val="20"/>
                <w:color w:val="auto"/>
              </w:rPr>
            </w:pPr>
            <w:r>
              <w:rPr>
                <w:rFonts w:ascii="Times New Roman" w:cs="Times New Roman" w:eastAsia="Times New Roman" w:hAnsi="Times New Roman"/>
                <w:sz w:val="22"/>
                <w:szCs w:val="22"/>
                <w:color w:val="auto"/>
                <w:w w:val="90"/>
              </w:rPr>
              <w:t>67</w:t>
            </w: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2160" w:type="dxa"/>
            <w:vAlign w:val="bottom"/>
            <w:gridSpan w:val="6"/>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2.15</w:t>
            </w:r>
          </w:p>
        </w:tc>
        <w:tc>
          <w:tcPr>
            <w:tcW w:w="2620" w:type="dxa"/>
            <w:vAlign w:val="bottom"/>
            <w:gridSpan w:val="11"/>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Increase in Commitments</w:t>
            </w:r>
          </w:p>
        </w:tc>
        <w:tc>
          <w:tcPr>
            <w:tcW w:w="20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81"/>
              </w:rPr>
              <w:t>68</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69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2.16</w:t>
            </w:r>
          </w:p>
        </w:tc>
        <w:tc>
          <w:tcPr>
            <w:tcW w:w="1740" w:type="dxa"/>
            <w:vAlign w:val="bottom"/>
            <w:gridSpan w:val="4"/>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Cash Collateral</w:t>
            </w:r>
          </w:p>
        </w:tc>
        <w:tc>
          <w:tcPr>
            <w:tcW w:w="420" w:type="dxa"/>
            <w:vAlign w:val="bottom"/>
            <w:gridSpan w:val="2"/>
            <w:vMerge w:val="restart"/>
          </w:tcPr>
          <w:p>
            <w:pPr>
              <w:jc w:val="right"/>
              <w:ind w:right="92"/>
              <w:spacing w:after="0" w:line="232" w:lineRule="exact"/>
              <w:rPr>
                <w:sz w:val="20"/>
                <w:szCs w:val="20"/>
                <w:color w:val="auto"/>
              </w:rPr>
            </w:pPr>
            <w:r>
              <w:rPr>
                <w:rFonts w:ascii="Times New Roman" w:cs="Times New Roman" w:eastAsia="Times New Roman" w:hAnsi="Times New Roman"/>
                <w:sz w:val="22"/>
                <w:szCs w:val="22"/>
                <w:color w:val="auto"/>
                <w:w w:val="90"/>
              </w:rPr>
              <w:t>71</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740" w:type="dxa"/>
            <w:vAlign w:val="bottom"/>
            <w:gridSpan w:val="4"/>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2.17</w:t>
            </w:r>
          </w:p>
        </w:tc>
        <w:tc>
          <w:tcPr>
            <w:tcW w:w="2160" w:type="dxa"/>
            <w:vAlign w:val="bottom"/>
            <w:gridSpan w:val="6"/>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Defaulting Lenders</w:t>
            </w:r>
          </w:p>
        </w:tc>
        <w:tc>
          <w:tcPr>
            <w:tcW w:w="240" w:type="dxa"/>
            <w:vAlign w:val="bottom"/>
            <w:gridSpan w:val="2"/>
          </w:tcPr>
          <w:p>
            <w:pPr>
              <w:jc w:val="right"/>
              <w:ind w:right="9"/>
              <w:spacing w:after="0" w:line="233" w:lineRule="exact"/>
              <w:rPr>
                <w:sz w:val="20"/>
                <w:szCs w:val="20"/>
                <w:color w:val="auto"/>
              </w:rPr>
            </w:pPr>
            <w:r>
              <w:rPr>
                <w:rFonts w:ascii="Times New Roman" w:cs="Times New Roman" w:eastAsia="Times New Roman" w:hAnsi="Times New Roman"/>
                <w:sz w:val="22"/>
                <w:szCs w:val="22"/>
                <w:color w:val="FF0000"/>
                <w:strike w:val="1"/>
                <w:w w:val="90"/>
              </w:rPr>
              <w:t>71</w:t>
            </w:r>
          </w:p>
        </w:tc>
        <w:tc>
          <w:tcPr>
            <w:tcW w:w="20" w:type="dxa"/>
            <w:vAlign w:val="bottom"/>
          </w:tcPr>
          <w:p>
            <w:pPr>
              <w:spacing w:after="0"/>
              <w:rPr>
                <w:sz w:val="20"/>
                <w:szCs w:val="20"/>
                <w:color w:val="auto"/>
              </w:rPr>
            </w:pPr>
          </w:p>
        </w:tc>
        <w:tc>
          <w:tcPr>
            <w:tcW w:w="200" w:type="dxa"/>
            <w:vAlign w:val="bottom"/>
            <w:tcBorders>
              <w:bottom w:val="single" w:sz="8" w:color="0000FF"/>
            </w:tcBorders>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0000FF"/>
                <w:w w:val="72"/>
              </w:rPr>
              <w:t>72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2.18</w:t>
            </w:r>
          </w:p>
        </w:tc>
        <w:tc>
          <w:tcPr>
            <w:tcW w:w="2160" w:type="dxa"/>
            <w:vAlign w:val="bottom"/>
            <w:gridSpan w:val="6"/>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Designated Lenders</w:t>
            </w:r>
          </w:p>
        </w:tc>
        <w:tc>
          <w:tcPr>
            <w:tcW w:w="220" w:type="dxa"/>
            <w:vAlign w:val="bottom"/>
            <w:vMerge w:val="restart"/>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
                <w:szCs w:val="2"/>
                <w:color w:val="FF0000"/>
                <w:strike w:val="1"/>
                <w:w w:val="97"/>
              </w:rPr>
              <w:t>73</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420" w:type="dxa"/>
            <w:vAlign w:val="bottom"/>
            <w:vMerge w:val="continue"/>
          </w:tcPr>
          <w:p>
            <w:pPr>
              <w:spacing w:after="0"/>
              <w:rPr>
                <w:sz w:val="8"/>
                <w:szCs w:val="8"/>
                <w:color w:val="auto"/>
              </w:rPr>
            </w:pPr>
          </w:p>
        </w:tc>
        <w:tc>
          <w:tcPr>
            <w:tcW w:w="2160" w:type="dxa"/>
            <w:vAlign w:val="bottom"/>
            <w:gridSpan w:val="6"/>
            <w:vMerge w:val="continue"/>
          </w:tcPr>
          <w:p>
            <w:pPr>
              <w:spacing w:after="0"/>
              <w:rPr>
                <w:sz w:val="8"/>
                <w:szCs w:val="8"/>
                <w:color w:val="auto"/>
              </w:rPr>
            </w:pPr>
          </w:p>
        </w:tc>
        <w:tc>
          <w:tcPr>
            <w:tcW w:w="220" w:type="dxa"/>
            <w:vAlign w:val="bottom"/>
            <w:tcBorders>
              <w:bottom w:val="single" w:sz="8" w:color="FF0000"/>
            </w:tcBorders>
            <w:vMerge w:val="continue"/>
          </w:tcPr>
          <w:p>
            <w:pPr>
              <w:spacing w:after="0"/>
              <w:rPr>
                <w:sz w:val="8"/>
                <w:szCs w:val="8"/>
                <w:color w:val="auto"/>
              </w:rPr>
            </w:pPr>
          </w:p>
        </w:tc>
        <w:tc>
          <w:tcPr>
            <w:tcW w:w="40" w:type="dxa"/>
            <w:vAlign w:val="bottom"/>
            <w:gridSpan w:val="2"/>
            <w:vMerge w:val="continue"/>
          </w:tcPr>
          <w:p>
            <w:pPr>
              <w:spacing w:after="0"/>
              <w:rPr>
                <w:sz w:val="8"/>
                <w:szCs w:val="8"/>
                <w:color w:val="auto"/>
              </w:rPr>
            </w:pPr>
          </w:p>
        </w:tc>
        <w:tc>
          <w:tcPr>
            <w:tcW w:w="18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21"/>
                <w:szCs w:val="21"/>
                <w:color w:val="0000FF"/>
                <w:w w:val="75"/>
              </w:rPr>
              <w:t>74</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420" w:type="dxa"/>
            <w:vAlign w:val="bottom"/>
            <w:vMerge w:val="continue"/>
          </w:tcPr>
          <w:p>
            <w:pPr>
              <w:spacing w:after="0"/>
              <w:rPr>
                <w:sz w:val="5"/>
                <w:szCs w:val="5"/>
                <w:color w:val="auto"/>
              </w:rPr>
            </w:pPr>
          </w:p>
        </w:tc>
        <w:tc>
          <w:tcPr>
            <w:tcW w:w="216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2.19</w:t>
            </w:r>
          </w:p>
        </w:tc>
        <w:tc>
          <w:tcPr>
            <w:tcW w:w="2400" w:type="dxa"/>
            <w:vAlign w:val="bottom"/>
            <w:gridSpan w:val="8"/>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w w:val="91"/>
              </w:rPr>
              <w:t>Sustainability Adjustments</w:t>
            </w:r>
          </w:p>
        </w:tc>
        <w:tc>
          <w:tcPr>
            <w:tcW w:w="200" w:type="dxa"/>
            <w:vAlign w:val="bottom"/>
            <w:tcBorders>
              <w:top w:val="single" w:sz="8" w:color="0000FF"/>
              <w:bottom w:val="single" w:sz="8" w:color="0000FF"/>
            </w:tcBorders>
            <w:gridSpan w:val="2"/>
          </w:tcPr>
          <w:p>
            <w:pPr>
              <w:spacing w:after="0" w:line="20" w:lineRule="exact"/>
              <w:rPr>
                <w:sz w:val="1"/>
                <w:szCs w:val="1"/>
                <w:color w:val="auto"/>
              </w:rPr>
            </w:pPr>
          </w:p>
        </w:tc>
        <w:tc>
          <w:tcPr>
            <w:tcW w:w="66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22"/>
                <w:szCs w:val="22"/>
                <w:color w:val="auto"/>
                <w:w w:val="90"/>
              </w:rPr>
              <w:t>74</w:t>
            </w: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20" w:type="dxa"/>
            <w:vAlign w:val="bottom"/>
            <w:vMerge w:val="continue"/>
          </w:tcPr>
          <w:p>
            <w:pPr>
              <w:spacing w:after="0"/>
              <w:rPr>
                <w:sz w:val="20"/>
                <w:szCs w:val="20"/>
                <w:color w:val="auto"/>
              </w:rPr>
            </w:pPr>
          </w:p>
        </w:tc>
        <w:tc>
          <w:tcPr>
            <w:tcW w:w="2400" w:type="dxa"/>
            <w:vAlign w:val="bottom"/>
            <w:gridSpan w:val="8"/>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4"/>
            <w:vMerge w:val="continue"/>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III. TAXES, YIELD PROTECTION AND ILLEGALITY</w:t>
      </w:r>
    </w:p>
    <w:p>
      <w:pPr>
        <w:spacing w:after="0" w:line="223"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3.01</w:t>
            </w:r>
          </w:p>
        </w:tc>
        <w:tc>
          <w:tcPr>
            <w:tcW w:w="88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Taxes</w:t>
            </w:r>
          </w:p>
        </w:tc>
        <w:tc>
          <w:tcPr>
            <w:tcW w:w="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75</w:t>
            </w: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3.02</w:t>
            </w:r>
          </w:p>
        </w:tc>
        <w:tc>
          <w:tcPr>
            <w:tcW w:w="8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Illegality</w:t>
            </w:r>
          </w:p>
        </w:tc>
        <w:tc>
          <w:tcPr>
            <w:tcW w:w="1720" w:type="dxa"/>
            <w:vAlign w:val="bottom"/>
            <w:gridSpan w:val="3"/>
          </w:tcPr>
          <w:p>
            <w:pPr>
              <w:jc w:val="right"/>
              <w:ind w:right="1080"/>
              <w:spacing w:after="0" w:line="243" w:lineRule="exact"/>
              <w:rPr>
                <w:sz w:val="20"/>
                <w:szCs w:val="20"/>
                <w:color w:val="auto"/>
              </w:rPr>
            </w:pPr>
            <w:r>
              <w:rPr>
                <w:rFonts w:ascii="Times New Roman" w:cs="Times New Roman" w:eastAsia="Times New Roman" w:hAnsi="Times New Roman"/>
                <w:sz w:val="22"/>
                <w:szCs w:val="22"/>
                <w:color w:val="auto"/>
              </w:rPr>
              <w:t>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3.03</w:t>
            </w:r>
          </w:p>
        </w:tc>
        <w:tc>
          <w:tcPr>
            <w:tcW w:w="3040" w:type="dxa"/>
            <w:vAlign w:val="bottom"/>
            <w:gridSpan w:val="6"/>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Inability to Determine Rates</w:t>
            </w:r>
          </w:p>
        </w:tc>
        <w:tc>
          <w:tcPr>
            <w:tcW w:w="194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w w:val="81"/>
              </w:rPr>
              <w:t>80</w:t>
            </w: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3.04</w:t>
            </w:r>
          </w:p>
        </w:tc>
        <w:tc>
          <w:tcPr>
            <w:tcW w:w="3040" w:type="dxa"/>
            <w:vAlign w:val="bottom"/>
            <w:gridSpan w:val="6"/>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Increased Costs  </w:t>
            </w:r>
            <w:r>
              <w:rPr>
                <w:rFonts w:ascii="Times New Roman" w:cs="Times New Roman" w:eastAsia="Times New Roman" w:hAnsi="Times New Roman"/>
                <w:sz w:val="22"/>
                <w:szCs w:val="22"/>
                <w:color w:val="auto"/>
              </w:rPr>
              <w:t>83</w:t>
            </w: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3.05</w:t>
            </w:r>
          </w:p>
        </w:tc>
        <w:tc>
          <w:tcPr>
            <w:tcW w:w="2600" w:type="dxa"/>
            <w:vAlign w:val="bottom"/>
            <w:gridSpan w:val="4"/>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Compensation for Losses</w:t>
            </w: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84</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85</w:t>
            </w: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3.06</w:t>
            </w: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4980" w:type="dxa"/>
            <w:vAlign w:val="bottom"/>
            <w:gridSpan w:val="7"/>
          </w:tcPr>
          <w:p>
            <w:pPr>
              <w:ind w:left="60"/>
              <w:spacing w:after="0" w:line="191" w:lineRule="exact"/>
              <w:rPr>
                <w:sz w:val="20"/>
                <w:szCs w:val="20"/>
                <w:color w:val="auto"/>
              </w:rPr>
            </w:pPr>
            <w:r>
              <w:rPr>
                <w:rFonts w:ascii="Times New Roman" w:cs="Times New Roman" w:eastAsia="Times New Roman" w:hAnsi="Times New Roman"/>
                <w:sz w:val="22"/>
                <w:szCs w:val="22"/>
                <w:b w:val="1"/>
                <w:bCs w:val="1"/>
                <w:color w:val="auto"/>
              </w:rPr>
              <w:t xml:space="preserve">Mitigation Obligations; Replacement of Lenders  </w:t>
            </w:r>
            <w:r>
              <w:rPr>
                <w:rFonts w:ascii="Times New Roman" w:cs="Times New Roman" w:eastAsia="Times New Roman" w:hAnsi="Times New Roman"/>
                <w:sz w:val="22"/>
                <w:szCs w:val="22"/>
                <w:color w:val="auto"/>
              </w:rPr>
              <w:t>85</w:t>
            </w: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3.07</w:t>
            </w:r>
          </w:p>
        </w:tc>
        <w:tc>
          <w:tcPr>
            <w:tcW w:w="880" w:type="dxa"/>
            <w:vAlign w:val="bottom"/>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Survival</w:t>
            </w:r>
          </w:p>
        </w:tc>
        <w:tc>
          <w:tcPr>
            <w:tcW w:w="200" w:type="dxa"/>
            <w:vAlign w:val="bottom"/>
          </w:tcPr>
          <w:p>
            <w:pPr>
              <w:spacing w:after="0" w:line="233" w:lineRule="exact"/>
              <w:rPr>
                <w:sz w:val="20"/>
                <w:szCs w:val="20"/>
                <w:color w:val="auto"/>
              </w:rPr>
            </w:pPr>
            <w:r>
              <w:rPr>
                <w:rFonts w:ascii="Times New Roman" w:cs="Times New Roman" w:eastAsia="Times New Roman" w:hAnsi="Times New Roman"/>
                <w:sz w:val="22"/>
                <w:szCs w:val="22"/>
                <w:color w:val="FF0000"/>
                <w:strike w:val="1"/>
                <w:w w:val="81"/>
              </w:rPr>
              <w:t>85</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86</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ARTICLE IV. CONDITIONS PRECEDENT TO </w:t>
      </w:r>
      <w:r>
        <w:rPr>
          <w:rFonts w:ascii="Times New Roman" w:cs="Times New Roman" w:eastAsia="Times New Roman" w:hAnsi="Times New Roman"/>
          <w:sz w:val="22"/>
          <w:szCs w:val="22"/>
          <w:color w:val="auto"/>
        </w:rPr>
        <w:t>CREDIT EXTENSIONS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0" w:lineRule="exact"/>
        <w:rPr>
          <w:sz w:val="20"/>
          <w:szCs w:val="20"/>
          <w:color w:val="auto"/>
        </w:rPr>
      </w:pPr>
    </w:p>
    <w:p>
      <w:pPr>
        <w:spacing w:after="0" w:line="229"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4.01</w:t>
            </w:r>
          </w:p>
        </w:tc>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Conditions of Initial Credit Extension</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85</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81"/>
              </w:rPr>
              <w:t>86</w:t>
            </w:r>
          </w:p>
        </w:tc>
        <w:tc>
          <w:tcPr>
            <w:tcW w:w="0" w:type="dxa"/>
            <w:vAlign w:val="bottom"/>
          </w:tcPr>
          <w:p>
            <w:pPr>
              <w:spacing w:after="0"/>
              <w:rPr>
                <w:sz w:val="1"/>
                <w:szCs w:val="1"/>
                <w:color w:val="auto"/>
              </w:rPr>
            </w:pPr>
          </w:p>
        </w:tc>
      </w:tr>
      <w:tr>
        <w:trPr>
          <w:trHeight w:val="211"/>
        </w:trPr>
        <w:tc>
          <w:tcPr>
            <w:tcW w:w="420" w:type="dxa"/>
            <w:vAlign w:val="bottom"/>
            <w:vMerge w:val="continue"/>
          </w:tcPr>
          <w:p>
            <w:pPr>
              <w:spacing w:after="0"/>
              <w:rPr>
                <w:sz w:val="17"/>
                <w:szCs w:val="17"/>
                <w:color w:val="auto"/>
              </w:rPr>
            </w:pPr>
          </w:p>
        </w:tc>
        <w:tc>
          <w:tcPr>
            <w:tcW w:w="378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200" w:type="dxa"/>
            <w:vAlign w:val="bottom"/>
            <w:tcBorders>
              <w:bottom w:val="single" w:sz="8" w:color="0000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4.02</w:t>
            </w:r>
          </w:p>
        </w:tc>
        <w:tc>
          <w:tcPr>
            <w:tcW w:w="3780" w:type="dxa"/>
            <w:vAlign w:val="bottom"/>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Conditions to all Credit Extensions  </w:t>
            </w:r>
            <w:r>
              <w:rPr>
                <w:rFonts w:ascii="Times New Roman" w:cs="Times New Roman" w:eastAsia="Times New Roman" w:hAnsi="Times New Roman"/>
                <w:sz w:val="22"/>
                <w:szCs w:val="22"/>
                <w:color w:val="auto"/>
              </w:rPr>
              <w:t>87</w:t>
            </w:r>
          </w:p>
        </w:tc>
        <w:tc>
          <w:tcPr>
            <w:tcW w:w="34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20" w:type="dxa"/>
            <w:vAlign w:val="bottom"/>
            <w:vMerge w:val="continue"/>
          </w:tcPr>
          <w:p>
            <w:pPr>
              <w:spacing w:after="0"/>
              <w:rPr>
                <w:sz w:val="20"/>
                <w:szCs w:val="20"/>
                <w:color w:val="auto"/>
              </w:rPr>
            </w:pPr>
          </w:p>
        </w:tc>
        <w:tc>
          <w:tcPr>
            <w:tcW w:w="378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V. REPRESENTATIONS AND WARRANTIES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5.01</w:t>
            </w:r>
          </w:p>
        </w:tc>
        <w:tc>
          <w:tcPr>
            <w:tcW w:w="2600" w:type="dxa"/>
            <w:vAlign w:val="bottom"/>
            <w:gridSpan w:val="9"/>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Organization and Power</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87</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22"/>
                <w:szCs w:val="22"/>
                <w:color w:val="0000FF"/>
                <w:w w:val="90"/>
              </w:rPr>
              <w:t>88</w:t>
            </w: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0" w:type="dxa"/>
            <w:vAlign w:val="bottom"/>
            <w:vMerge w:val="continue"/>
          </w:tcPr>
          <w:p>
            <w:pPr>
              <w:spacing w:after="0"/>
              <w:rPr>
                <w:sz w:val="17"/>
                <w:szCs w:val="17"/>
                <w:color w:val="auto"/>
              </w:rPr>
            </w:pPr>
          </w:p>
        </w:tc>
        <w:tc>
          <w:tcPr>
            <w:tcW w:w="2600" w:type="dxa"/>
            <w:vAlign w:val="bottom"/>
            <w:gridSpan w:val="9"/>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5.02</w:t>
            </w:r>
          </w:p>
        </w:tc>
        <w:tc>
          <w:tcPr>
            <w:tcW w:w="2820" w:type="dxa"/>
            <w:vAlign w:val="bottom"/>
            <w:gridSpan w:val="10"/>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Authorization; Enforceable</w:t>
            </w:r>
          </w:p>
        </w:tc>
        <w:tc>
          <w:tcPr>
            <w:tcW w:w="22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432"/>
              <w:spacing w:after="0" w:line="232" w:lineRule="exact"/>
              <w:rPr>
                <w:sz w:val="20"/>
                <w:szCs w:val="20"/>
                <w:color w:val="auto"/>
              </w:rPr>
            </w:pPr>
            <w:r>
              <w:rPr>
                <w:rFonts w:ascii="Times New Roman" w:cs="Times New Roman" w:eastAsia="Times New Roman" w:hAnsi="Times New Roman"/>
                <w:sz w:val="22"/>
                <w:szCs w:val="22"/>
                <w:color w:val="auto"/>
                <w:w w:val="90"/>
              </w:rPr>
              <w:t>88</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2820" w:type="dxa"/>
            <w:vAlign w:val="bottom"/>
            <w:gridSpan w:val="10"/>
            <w:vMerge w:val="continue"/>
          </w:tcPr>
          <w:p>
            <w:pPr>
              <w:spacing w:after="0"/>
              <w:rPr>
                <w:sz w:val="16"/>
                <w:szCs w:val="16"/>
                <w:color w:val="auto"/>
              </w:rPr>
            </w:pPr>
          </w:p>
        </w:tc>
        <w:tc>
          <w:tcPr>
            <w:tcW w:w="1080" w:type="dxa"/>
            <w:vAlign w:val="bottom"/>
            <w:gridSpan w:val="4"/>
          </w:tcPr>
          <w:p>
            <w:pPr>
              <w:spacing w:after="0" w:line="191" w:lineRule="exact"/>
              <w:rPr>
                <w:sz w:val="20"/>
                <w:szCs w:val="20"/>
                <w:color w:val="auto"/>
              </w:rPr>
            </w:pPr>
            <w:r>
              <w:rPr>
                <w:rFonts w:ascii="Times New Roman" w:cs="Times New Roman" w:eastAsia="Times New Roman" w:hAnsi="Times New Roman"/>
                <w:sz w:val="22"/>
                <w:szCs w:val="22"/>
                <w:b w:val="1"/>
                <w:bCs w:val="1"/>
                <w:color w:val="auto"/>
                <w:w w:val="97"/>
              </w:rPr>
              <w:t>Obligations</w:t>
            </w:r>
          </w:p>
        </w:tc>
        <w:tc>
          <w:tcPr>
            <w:tcW w:w="7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5.03</w:t>
            </w:r>
          </w:p>
        </w:tc>
        <w:tc>
          <w:tcPr>
            <w:tcW w:w="4660" w:type="dxa"/>
            <w:vAlign w:val="bottom"/>
            <w:gridSpan w:val="15"/>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w w:val="99"/>
              </w:rPr>
              <w:t>Financial Condition; No Material Adverse Effect</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88</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89</w:t>
            </w: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5.04</w:t>
            </w:r>
          </w:p>
        </w:tc>
        <w:tc>
          <w:tcPr>
            <w:tcW w:w="130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Taxes   </w:t>
            </w:r>
            <w:r>
              <w:rPr>
                <w:rFonts w:ascii="Times New Roman" w:cs="Times New Roman" w:eastAsia="Times New Roman" w:hAnsi="Times New Roman"/>
                <w:sz w:val="22"/>
                <w:szCs w:val="22"/>
                <w:color w:val="auto"/>
              </w:rPr>
              <w:t>89</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5.05</w:t>
            </w:r>
          </w:p>
        </w:tc>
        <w:tc>
          <w:tcPr>
            <w:tcW w:w="2100" w:type="dxa"/>
            <w:vAlign w:val="bottom"/>
            <w:gridSpan w:val="7"/>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Title to Properties</w:t>
            </w:r>
          </w:p>
        </w:tc>
        <w:tc>
          <w:tcPr>
            <w:tcW w:w="5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89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5.06</w:t>
            </w:r>
          </w:p>
        </w:tc>
        <w:tc>
          <w:tcPr>
            <w:tcW w:w="1300" w:type="dxa"/>
            <w:vAlign w:val="bottom"/>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Litigation</w:t>
            </w:r>
          </w:p>
        </w:tc>
        <w:tc>
          <w:tcPr>
            <w:tcW w:w="240" w:type="dxa"/>
            <w:vAlign w:val="bottom"/>
            <w:gridSpan w:val="2"/>
          </w:tcPr>
          <w:p>
            <w:pPr>
              <w:jc w:val="right"/>
              <w:ind w:right="20"/>
              <w:spacing w:after="0" w:line="233" w:lineRule="exact"/>
              <w:rPr>
                <w:sz w:val="20"/>
                <w:szCs w:val="20"/>
                <w:color w:val="auto"/>
              </w:rPr>
            </w:pPr>
            <w:r>
              <w:rPr>
                <w:rFonts w:ascii="Times New Roman" w:cs="Times New Roman" w:eastAsia="Times New Roman" w:hAnsi="Times New Roman"/>
                <w:sz w:val="22"/>
                <w:szCs w:val="22"/>
                <w:color w:val="FF0000"/>
                <w:strike w:val="1"/>
                <w:w w:val="90"/>
              </w:rPr>
              <w:t>89</w:t>
            </w:r>
          </w:p>
        </w:tc>
        <w:tc>
          <w:tcPr>
            <w:tcW w:w="20" w:type="dxa"/>
            <w:vAlign w:val="bottom"/>
          </w:tcPr>
          <w:p>
            <w:pPr>
              <w:spacing w:after="0"/>
              <w:rPr>
                <w:sz w:val="20"/>
                <w:szCs w:val="20"/>
                <w:color w:val="auto"/>
              </w:rPr>
            </w:pPr>
          </w:p>
        </w:tc>
        <w:tc>
          <w:tcPr>
            <w:tcW w:w="200" w:type="dxa"/>
            <w:vAlign w:val="bottom"/>
            <w:tcBorders>
              <w:bottom w:val="single" w:sz="8" w:color="0000FF"/>
            </w:tcBorders>
            <w:gridSpan w:val="2"/>
          </w:tcPr>
          <w:p>
            <w:pPr>
              <w:spacing w:after="0" w:line="233" w:lineRule="exact"/>
              <w:rPr>
                <w:sz w:val="20"/>
                <w:szCs w:val="20"/>
                <w:color w:val="auto"/>
              </w:rPr>
            </w:pPr>
            <w:r>
              <w:rPr>
                <w:rFonts w:ascii="Times New Roman" w:cs="Times New Roman" w:eastAsia="Times New Roman" w:hAnsi="Times New Roman"/>
                <w:sz w:val="22"/>
                <w:szCs w:val="22"/>
                <w:color w:val="0000FF"/>
                <w:w w:val="81"/>
              </w:rPr>
              <w:t>90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5.07</w:t>
            </w:r>
          </w:p>
        </w:tc>
        <w:tc>
          <w:tcPr>
            <w:tcW w:w="1300" w:type="dxa"/>
            <w:vAlign w:val="bottom"/>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Agreements</w:t>
            </w: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5"/>
                <w:szCs w:val="5"/>
                <w:color w:val="FF0000"/>
                <w:strike w:val="1"/>
                <w:w w:val="79"/>
              </w:rPr>
              <w:t>89</w:t>
            </w:r>
          </w:p>
        </w:tc>
        <w:tc>
          <w:tcPr>
            <w:tcW w:w="1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42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220" w:type="dxa"/>
            <w:vAlign w:val="bottom"/>
            <w:tcBorders>
              <w:bottom w:val="single" w:sz="8" w:color="FF0000"/>
            </w:tcBorders>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80" w:type="dxa"/>
            <w:vAlign w:val="bottom"/>
            <w:vMerge w:val="restart"/>
          </w:tcPr>
          <w:p>
            <w:pPr>
              <w:spacing w:after="0" w:line="183" w:lineRule="exact"/>
              <w:rPr>
                <w:sz w:val="20"/>
                <w:szCs w:val="20"/>
                <w:color w:val="auto"/>
              </w:rPr>
            </w:pPr>
            <w:r>
              <w:rPr>
                <w:rFonts w:ascii="Times New Roman" w:cs="Times New Roman" w:eastAsia="Times New Roman" w:hAnsi="Times New Roman"/>
                <w:sz w:val="21"/>
                <w:szCs w:val="21"/>
                <w:color w:val="0000FF"/>
                <w:w w:val="75"/>
              </w:rPr>
              <w:t>90</w:t>
            </w:r>
          </w:p>
        </w:tc>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2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180" w:type="dxa"/>
            <w:vAlign w:val="bottom"/>
            <w:tcBorders>
              <w:bottom w:val="single" w:sz="8" w:color="0000FF"/>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5.08</w:t>
            </w:r>
          </w:p>
        </w:tc>
        <w:tc>
          <w:tcPr>
            <w:tcW w:w="1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89</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90</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20" w:type="dxa"/>
            <w:vAlign w:val="bottom"/>
            <w:vMerge w:val="continue"/>
          </w:tcPr>
          <w:p>
            <w:pPr>
              <w:spacing w:after="0"/>
              <w:rPr>
                <w:sz w:val="15"/>
                <w:szCs w:val="15"/>
                <w:color w:val="auto"/>
              </w:rPr>
            </w:pPr>
          </w:p>
        </w:tc>
        <w:tc>
          <w:tcPr>
            <w:tcW w:w="1740" w:type="dxa"/>
            <w:vAlign w:val="bottom"/>
            <w:gridSpan w:val="5"/>
          </w:tcPr>
          <w:p>
            <w:pPr>
              <w:ind w:left="60"/>
              <w:spacing w:after="0" w:line="183" w:lineRule="exact"/>
              <w:rPr>
                <w:sz w:val="20"/>
                <w:szCs w:val="20"/>
                <w:color w:val="auto"/>
              </w:rPr>
            </w:pPr>
            <w:r>
              <w:rPr>
                <w:rFonts w:ascii="Times New Roman" w:cs="Times New Roman" w:eastAsia="Times New Roman" w:hAnsi="Times New Roman"/>
                <w:sz w:val="21"/>
                <w:szCs w:val="21"/>
                <w:b w:val="1"/>
                <w:bCs w:val="1"/>
                <w:color w:val="auto"/>
                <w:w w:val="93"/>
              </w:rPr>
              <w:t>ERISA Compliance</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5.09</w:t>
            </w:r>
          </w:p>
        </w:tc>
        <w:tc>
          <w:tcPr>
            <w:tcW w:w="130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90</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91</w:t>
            </w:r>
          </w:p>
        </w:tc>
        <w:tc>
          <w:tcPr>
            <w:tcW w:w="0" w:type="dxa"/>
            <w:vAlign w:val="bottom"/>
          </w:tcPr>
          <w:p>
            <w:pPr>
              <w:spacing w:after="0"/>
              <w:rPr>
                <w:sz w:val="1"/>
                <w:szCs w:val="1"/>
                <w:color w:val="auto"/>
              </w:rPr>
            </w:pPr>
          </w:p>
        </w:tc>
      </w:tr>
      <w:tr>
        <w:trPr>
          <w:trHeight w:val="188"/>
        </w:trPr>
        <w:tc>
          <w:tcPr>
            <w:tcW w:w="420" w:type="dxa"/>
            <w:vAlign w:val="bottom"/>
            <w:vMerge w:val="continue"/>
          </w:tcPr>
          <w:p>
            <w:pPr>
              <w:spacing w:after="0"/>
              <w:rPr>
                <w:sz w:val="15"/>
                <w:szCs w:val="15"/>
                <w:color w:val="auto"/>
              </w:rPr>
            </w:pPr>
          </w:p>
        </w:tc>
        <w:tc>
          <w:tcPr>
            <w:tcW w:w="4660" w:type="dxa"/>
            <w:vAlign w:val="bottom"/>
            <w:gridSpan w:val="15"/>
          </w:tcPr>
          <w:p>
            <w:pPr>
              <w:ind w:left="60"/>
              <w:spacing w:after="0" w:line="183" w:lineRule="exact"/>
              <w:rPr>
                <w:sz w:val="20"/>
                <w:szCs w:val="20"/>
                <w:color w:val="auto"/>
              </w:rPr>
            </w:pPr>
            <w:r>
              <w:rPr>
                <w:rFonts w:ascii="Times New Roman" w:cs="Times New Roman" w:eastAsia="Times New Roman" w:hAnsi="Times New Roman"/>
                <w:sz w:val="21"/>
                <w:szCs w:val="21"/>
                <w:b w:val="1"/>
                <w:bCs w:val="1"/>
                <w:color w:val="auto"/>
              </w:rPr>
              <w:t>Margin Regulations; Investment Company Act</w:t>
            </w:r>
          </w:p>
        </w:tc>
        <w:tc>
          <w:tcPr>
            <w:tcW w:w="32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5.10</w:t>
            </w:r>
          </w:p>
        </w:tc>
        <w:tc>
          <w:tcPr>
            <w:tcW w:w="130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Approvals</w:t>
            </w:r>
          </w:p>
        </w:tc>
        <w:tc>
          <w:tcPr>
            <w:tcW w:w="240" w:type="dxa"/>
            <w:vAlign w:val="bottom"/>
            <w:gridSpan w:val="2"/>
            <w:vMerge w:val="restart"/>
          </w:tcPr>
          <w:p>
            <w:pPr>
              <w:jc w:val="right"/>
              <w:ind w:right="20"/>
              <w:spacing w:after="0" w:line="232" w:lineRule="exact"/>
              <w:rPr>
                <w:sz w:val="20"/>
                <w:szCs w:val="20"/>
                <w:color w:val="auto"/>
              </w:rPr>
            </w:pPr>
            <w:r>
              <w:rPr>
                <w:rFonts w:ascii="Times New Roman" w:cs="Times New Roman" w:eastAsia="Times New Roman" w:hAnsi="Times New Roman"/>
                <w:sz w:val="22"/>
                <w:szCs w:val="22"/>
                <w:color w:val="auto"/>
                <w:w w:val="90"/>
              </w:rPr>
              <w:t>91</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5.11</w:t>
            </w:r>
          </w:p>
        </w:tc>
        <w:tc>
          <w:tcPr>
            <w:tcW w:w="2600" w:type="dxa"/>
            <w:vAlign w:val="bottom"/>
            <w:gridSpan w:val="9"/>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Subsidiaries and Affiliates</w:t>
            </w:r>
          </w:p>
        </w:tc>
        <w:tc>
          <w:tcPr>
            <w:tcW w:w="44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w w:val="90"/>
              </w:rPr>
              <w:t>91</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5.12</w:t>
            </w:r>
          </w:p>
        </w:tc>
        <w:tc>
          <w:tcPr>
            <w:tcW w:w="3040" w:type="dxa"/>
            <w:vAlign w:val="bottom"/>
            <w:gridSpan w:val="11"/>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Environmental Compliance</w:t>
            </w:r>
          </w:p>
        </w:tc>
        <w:tc>
          <w:tcPr>
            <w:tcW w:w="3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81"/>
              </w:rPr>
              <w:t>91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5.13</w:t>
            </w:r>
          </w:p>
        </w:tc>
        <w:tc>
          <w:tcPr>
            <w:tcW w:w="13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No Default</w:t>
            </w:r>
          </w:p>
        </w:tc>
        <w:tc>
          <w:tcPr>
            <w:tcW w:w="240" w:type="dxa"/>
            <w:vAlign w:val="bottom"/>
            <w:gridSpan w:val="2"/>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w w:val="90"/>
              </w:rPr>
              <w:t>91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5.14</w:t>
            </w:r>
          </w:p>
        </w:tc>
        <w:tc>
          <w:tcPr>
            <w:tcW w:w="2100" w:type="dxa"/>
            <w:vAlign w:val="bottom"/>
            <w:gridSpan w:val="7"/>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Permits and Licenses</w:t>
            </w:r>
          </w:p>
        </w:tc>
        <w:tc>
          <w:tcPr>
            <w:tcW w:w="500" w:type="dxa"/>
            <w:vAlign w:val="bottom"/>
            <w:gridSpan w:val="2"/>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5.15</w:t>
            </w:r>
          </w:p>
        </w:tc>
        <w:tc>
          <w:tcPr>
            <w:tcW w:w="2600" w:type="dxa"/>
            <w:vAlign w:val="bottom"/>
            <w:gridSpan w:val="9"/>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Compliance with Law </w:t>
            </w:r>
            <w:r>
              <w:rPr>
                <w:rFonts w:ascii="Times New Roman" w:cs="Times New Roman" w:eastAsia="Times New Roman" w:hAnsi="Times New Roman"/>
                <w:sz w:val="22"/>
                <w:szCs w:val="22"/>
                <w:color w:val="auto"/>
              </w:rPr>
              <w:t>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5.16</w:t>
            </w:r>
          </w:p>
        </w:tc>
        <w:tc>
          <w:tcPr>
            <w:tcW w:w="1300" w:type="dxa"/>
            <w:vAlign w:val="bottom"/>
          </w:tcPr>
          <w:p>
            <w:pPr>
              <w:ind w:left="60"/>
              <w:spacing w:after="0" w:line="233" w:lineRule="exact"/>
              <w:rPr>
                <w:sz w:val="20"/>
                <w:szCs w:val="20"/>
                <w:color w:val="auto"/>
              </w:rPr>
            </w:pPr>
            <w:r>
              <w:rPr>
                <w:rFonts w:ascii="Times New Roman" w:cs="Times New Roman" w:eastAsia="Times New Roman" w:hAnsi="Times New Roman"/>
                <w:sz w:val="22"/>
                <w:szCs w:val="22"/>
                <w:b w:val="1"/>
                <w:bCs w:val="1"/>
                <w:color w:val="auto"/>
              </w:rPr>
              <w:t>Disclosure</w:t>
            </w:r>
          </w:p>
        </w:tc>
        <w:tc>
          <w:tcPr>
            <w:tcW w:w="240" w:type="dxa"/>
            <w:vAlign w:val="bottom"/>
            <w:gridSpan w:val="2"/>
          </w:tcPr>
          <w:p>
            <w:pPr>
              <w:jc w:val="right"/>
              <w:ind w:right="20"/>
              <w:spacing w:after="0" w:line="233" w:lineRule="exact"/>
              <w:rPr>
                <w:sz w:val="20"/>
                <w:szCs w:val="20"/>
                <w:color w:val="auto"/>
              </w:rPr>
            </w:pPr>
            <w:r>
              <w:rPr>
                <w:rFonts w:ascii="Times New Roman" w:cs="Times New Roman" w:eastAsia="Times New Roman" w:hAnsi="Times New Roman"/>
                <w:sz w:val="22"/>
                <w:szCs w:val="22"/>
                <w:color w:val="FF0000"/>
                <w:strike w:val="1"/>
                <w:w w:val="90"/>
              </w:rPr>
              <w:t>91</w:t>
            </w:r>
          </w:p>
        </w:tc>
        <w:tc>
          <w:tcPr>
            <w:tcW w:w="200" w:type="dxa"/>
            <w:vAlign w:val="bottom"/>
            <w:tcBorders>
              <w:bottom w:val="single" w:sz="8" w:color="0000FF"/>
            </w:tcBorders>
            <w:gridSpan w:val="2"/>
          </w:tcPr>
          <w:p>
            <w:pPr>
              <w:spacing w:after="0" w:line="233" w:lineRule="exact"/>
              <w:rPr>
                <w:sz w:val="20"/>
                <w:szCs w:val="20"/>
                <w:color w:val="auto"/>
              </w:rPr>
            </w:pPr>
            <w:r>
              <w:rPr>
                <w:rFonts w:ascii="Times New Roman" w:cs="Times New Roman" w:eastAsia="Times New Roman" w:hAnsi="Times New Roman"/>
                <w:sz w:val="22"/>
                <w:szCs w:val="22"/>
                <w:color w:val="0000FF"/>
                <w:w w:val="81"/>
              </w:rPr>
              <w:t>92</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5.17</w:t>
            </w:r>
          </w:p>
        </w:tc>
        <w:tc>
          <w:tcPr>
            <w:tcW w:w="1540" w:type="dxa"/>
            <w:vAlign w:val="bottom"/>
            <w:gridSpan w:val="3"/>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rPr>
              <w:t>Labor Disputes</w:t>
            </w:r>
          </w:p>
        </w:tc>
        <w:tc>
          <w:tcPr>
            <w:tcW w:w="200" w:type="dxa"/>
            <w:vAlign w:val="bottom"/>
            <w:tcBorders>
              <w:bottom w:val="single" w:sz="8" w:color="0000FF"/>
            </w:tcBorders>
            <w:gridSpan w:val="2"/>
          </w:tcPr>
          <w:p>
            <w:pPr>
              <w:spacing w:after="0" w:line="20" w:lineRule="exact"/>
              <w:rPr>
                <w:sz w:val="1"/>
                <w:szCs w:val="1"/>
                <w:color w:val="auto"/>
              </w:rPr>
            </w:pPr>
          </w:p>
        </w:tc>
        <w:tc>
          <w:tcPr>
            <w:tcW w:w="13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91</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92</w:t>
            </w: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2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00" w:type="dxa"/>
            <w:vAlign w:val="bottom"/>
            <w:gridSpan w:val="8"/>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and Acts of God</w:t>
            </w:r>
          </w:p>
        </w:tc>
        <w:tc>
          <w:tcPr>
            <w:tcW w:w="3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5.18</w:t>
            </w:r>
          </w:p>
        </w:tc>
        <w:tc>
          <w:tcPr>
            <w:tcW w:w="3680" w:type="dxa"/>
            <w:vAlign w:val="bottom"/>
            <w:gridSpan w:val="13"/>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Sanctions and Anti-Corruption Laws</w:t>
            </w:r>
          </w:p>
        </w:tc>
        <w:tc>
          <w:tcPr>
            <w:tcW w:w="220" w:type="dxa"/>
            <w:vAlign w:val="bottom"/>
            <w:tcBorders>
              <w:bottom w:val="single" w:sz="8" w:color="0000FF"/>
            </w:tcBorders>
          </w:tcPr>
          <w:p>
            <w:pPr>
              <w:spacing w:after="0" w:line="20" w:lineRule="exact"/>
              <w:rPr>
                <w:sz w:val="1"/>
                <w:szCs w:val="1"/>
                <w:color w:val="auto"/>
              </w:rPr>
            </w:pPr>
          </w:p>
        </w:tc>
        <w:tc>
          <w:tcPr>
            <w:tcW w:w="760" w:type="dxa"/>
            <w:vAlign w:val="bottom"/>
            <w:vMerge w:val="restart"/>
          </w:tcPr>
          <w:p>
            <w:pPr>
              <w:jc w:val="right"/>
              <w:ind w:right="432"/>
              <w:spacing w:after="0" w:line="232" w:lineRule="exact"/>
              <w:rPr>
                <w:sz w:val="20"/>
                <w:szCs w:val="20"/>
                <w:color w:val="auto"/>
              </w:rPr>
            </w:pPr>
            <w:r>
              <w:rPr>
                <w:rFonts w:ascii="Times New Roman" w:cs="Times New Roman" w:eastAsia="Times New Roman" w:hAnsi="Times New Roman"/>
                <w:sz w:val="22"/>
                <w:szCs w:val="22"/>
                <w:color w:val="auto"/>
                <w:w w:val="90"/>
              </w:rPr>
              <w:t>92</w:t>
            </w: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3680" w:type="dxa"/>
            <w:vAlign w:val="bottom"/>
            <w:gridSpan w:val="13"/>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5.19</w:t>
            </w:r>
          </w:p>
        </w:tc>
        <w:tc>
          <w:tcPr>
            <w:tcW w:w="3380" w:type="dxa"/>
            <w:vAlign w:val="bottom"/>
            <w:gridSpan w:val="12"/>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w w:val="99"/>
              </w:rPr>
              <w:t>Intellectual Property; Licenses, Etc</w:t>
            </w:r>
          </w:p>
        </w:tc>
        <w:tc>
          <w:tcPr>
            <w:tcW w:w="3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5.20</w:t>
            </w:r>
          </w:p>
        </w:tc>
        <w:tc>
          <w:tcPr>
            <w:tcW w:w="3040" w:type="dxa"/>
            <w:vAlign w:val="bottom"/>
            <w:gridSpan w:val="11"/>
          </w:tcPr>
          <w:p>
            <w:pPr>
              <w:ind w:left="6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EEA Financial Institutions </w:t>
            </w:r>
            <w:r>
              <w:rPr>
                <w:rFonts w:ascii="Times New Roman" w:cs="Times New Roman" w:eastAsia="Times New Roman" w:hAnsi="Times New Roman"/>
                <w:sz w:val="22"/>
                <w:szCs w:val="22"/>
                <w:color w:val="auto"/>
              </w:rPr>
              <w:t>92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5.21</w:t>
            </w:r>
          </w:p>
        </w:tc>
        <w:tc>
          <w:tcPr>
            <w:tcW w:w="2100" w:type="dxa"/>
            <w:vAlign w:val="bottom"/>
            <w:gridSpan w:val="7"/>
          </w:tcPr>
          <w:p>
            <w:pPr>
              <w:ind w:left="60"/>
              <w:spacing w:after="0"/>
              <w:rPr>
                <w:sz w:val="20"/>
                <w:szCs w:val="20"/>
                <w:color w:val="auto"/>
              </w:rPr>
            </w:pPr>
            <w:r>
              <w:rPr>
                <w:rFonts w:ascii="Times New Roman" w:cs="Times New Roman" w:eastAsia="Times New Roman" w:hAnsi="Times New Roman"/>
                <w:sz w:val="22"/>
                <w:szCs w:val="22"/>
                <w:b w:val="1"/>
                <w:bCs w:val="1"/>
                <w:color w:val="auto"/>
              </w:rPr>
              <w:t xml:space="preserve">Covered Entities </w:t>
            </w:r>
            <w:r>
              <w:rPr>
                <w:rFonts w:ascii="Times New Roman" w:cs="Times New Roman" w:eastAsia="Times New Roman" w:hAnsi="Times New Roman"/>
                <w:sz w:val="22"/>
                <w:szCs w:val="22"/>
                <w:color w:val="auto"/>
              </w:rPr>
              <w:t>92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VI. AFFIRMATIVE COVENANTS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6.01</w:t>
            </w:r>
          </w:p>
        </w:tc>
        <w:tc>
          <w:tcPr>
            <w:tcW w:w="210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auto"/>
              </w:rPr>
              <w:t>Financial Statements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92</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93</w:t>
            </w: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80" w:type="dxa"/>
            <w:vAlign w:val="bottom"/>
            <w:vMerge w:val="continue"/>
          </w:tcPr>
          <w:p>
            <w:pPr>
              <w:spacing w:after="0"/>
              <w:rPr>
                <w:sz w:val="17"/>
                <w:szCs w:val="17"/>
                <w:color w:val="auto"/>
              </w:rPr>
            </w:pPr>
          </w:p>
        </w:tc>
        <w:tc>
          <w:tcPr>
            <w:tcW w:w="2100" w:type="dxa"/>
            <w:vAlign w:val="bottom"/>
            <w:gridSpan w:val="6"/>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20" w:type="dxa"/>
            <w:vAlign w:val="bottom"/>
            <w:tcBorders>
              <w:bottom w:val="single" w:sz="8" w:color="0000FF"/>
            </w:tcBorders>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6.02</w:t>
            </w: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5340" w:type="dxa"/>
            <w:vAlign w:val="bottom"/>
            <w:gridSpan w:val="17"/>
          </w:tcPr>
          <w:p>
            <w:pPr>
              <w:spacing w:after="0" w:line="191" w:lineRule="exact"/>
              <w:rPr>
                <w:sz w:val="20"/>
                <w:szCs w:val="20"/>
                <w:color w:val="auto"/>
              </w:rPr>
            </w:pPr>
            <w:r>
              <w:rPr>
                <w:rFonts w:ascii="Times New Roman" w:cs="Times New Roman" w:eastAsia="Times New Roman" w:hAnsi="Times New Roman"/>
                <w:sz w:val="22"/>
                <w:szCs w:val="22"/>
                <w:b w:val="1"/>
                <w:bCs w:val="1"/>
                <w:color w:val="auto"/>
              </w:rPr>
              <w:t xml:space="preserve">Certificates; Other Information </w:t>
            </w:r>
            <w:r>
              <w:rPr>
                <w:rFonts w:ascii="Times New Roman" w:cs="Times New Roman" w:eastAsia="Times New Roman" w:hAnsi="Times New Roman"/>
                <w:sz w:val="22"/>
                <w:szCs w:val="22"/>
                <w:color w:val="auto"/>
              </w:rPr>
              <w:t>93</w:t>
            </w:r>
          </w:p>
        </w:tc>
        <w:tc>
          <w:tcPr>
            <w:tcW w:w="0" w:type="dxa"/>
            <w:vAlign w:val="bottom"/>
          </w:tcPr>
          <w:p>
            <w:pPr>
              <w:spacing w:after="0"/>
              <w:rPr>
                <w:sz w:val="1"/>
                <w:szCs w:val="1"/>
                <w:color w:val="auto"/>
              </w:rPr>
            </w:pPr>
          </w:p>
        </w:tc>
      </w:tr>
      <w:tr>
        <w:trPr>
          <w:trHeight w:val="234"/>
        </w:trPr>
        <w:tc>
          <w:tcPr>
            <w:tcW w:w="4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6.03</w:t>
            </w:r>
          </w:p>
        </w:tc>
        <w:tc>
          <w:tcPr>
            <w:tcW w:w="820" w:type="dxa"/>
            <w:vAlign w:val="bottom"/>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Notices</w:t>
            </w:r>
          </w:p>
        </w:tc>
        <w:tc>
          <w:tcPr>
            <w:tcW w:w="20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81"/>
              </w:rPr>
              <w:t>94</w:t>
            </w:r>
          </w:p>
        </w:tc>
        <w:tc>
          <w:tcPr>
            <w:tcW w:w="2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95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6.04</w:t>
            </w:r>
          </w:p>
        </w:tc>
        <w:tc>
          <w:tcPr>
            <w:tcW w:w="10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3"/>
              </w:rPr>
              <w:t>Payment of</w:t>
            </w:r>
          </w:p>
        </w:tc>
        <w:tc>
          <w:tcPr>
            <w:tcW w:w="220" w:type="dxa"/>
            <w:vAlign w:val="bottom"/>
            <w:tcBorders>
              <w:bottom w:val="single" w:sz="8" w:color="0000FF"/>
            </w:tcBorders>
          </w:tcPr>
          <w:p>
            <w:pPr>
              <w:spacing w:after="0" w:line="20" w:lineRule="exact"/>
              <w:rPr>
                <w:sz w:val="1"/>
                <w:szCs w:val="1"/>
                <w:color w:val="auto"/>
              </w:rPr>
            </w:pPr>
          </w:p>
        </w:tc>
        <w:tc>
          <w:tcPr>
            <w:tcW w:w="1300" w:type="dxa"/>
            <w:vAlign w:val="bottom"/>
            <w:gridSpan w:val="6"/>
            <w:vMerge w:val="restart"/>
          </w:tcPr>
          <w:p>
            <w:pPr>
              <w:jc w:val="right"/>
              <w:ind w:right="380"/>
              <w:spacing w:after="0" w:line="223" w:lineRule="exact"/>
              <w:rPr>
                <w:sz w:val="20"/>
                <w:szCs w:val="20"/>
                <w:color w:val="auto"/>
              </w:rPr>
            </w:pPr>
            <w:r>
              <w:rPr>
                <w:rFonts w:ascii="Times New Roman" w:cs="Times New Roman" w:eastAsia="Times New Roman" w:hAnsi="Times New Roman"/>
                <w:sz w:val="22"/>
                <w:szCs w:val="22"/>
                <w:b w:val="1"/>
                <w:bCs w:val="1"/>
                <w:color w:val="auto"/>
                <w:w w:val="82"/>
              </w:rPr>
              <w:t>Obligations</w:t>
            </w:r>
          </w:p>
        </w:tc>
        <w:tc>
          <w:tcPr>
            <w:tcW w:w="24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94</w:t>
            </w:r>
          </w:p>
        </w:tc>
        <w:tc>
          <w:tcPr>
            <w:tcW w:w="2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81"/>
              </w:rPr>
              <w:t>95</w:t>
            </w: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6"/>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6.05</w:t>
            </w:r>
          </w:p>
        </w:tc>
        <w:tc>
          <w:tcPr>
            <w:tcW w:w="2780" w:type="dxa"/>
            <w:vAlign w:val="bottom"/>
            <w:gridSpan w:val="11"/>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8"/>
              </w:rPr>
              <w:t>Preservation of Existence, Etc</w:t>
            </w: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81"/>
              </w:rPr>
              <w:t>94</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95</w:t>
            </w:r>
          </w:p>
        </w:tc>
        <w:tc>
          <w:tcPr>
            <w:tcW w:w="15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2780" w:type="dxa"/>
            <w:vAlign w:val="bottom"/>
            <w:gridSpan w:val="11"/>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220" w:type="dxa"/>
            <w:vAlign w:val="bottom"/>
            <w:tcBorders>
              <w:bottom w:val="single" w:sz="8" w:color="0000FF"/>
            </w:tcBorders>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6.06</w:t>
            </w:r>
          </w:p>
        </w:tc>
        <w:tc>
          <w:tcPr>
            <w:tcW w:w="2540" w:type="dxa"/>
            <w:vAlign w:val="bottom"/>
            <w:gridSpan w:val="9"/>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Maintenance of Properties</w:t>
            </w:r>
          </w:p>
        </w:tc>
        <w:tc>
          <w:tcPr>
            <w:tcW w:w="240" w:type="dxa"/>
            <w:vAlign w:val="bottom"/>
            <w:gridSpan w:val="2"/>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w w:val="90"/>
              </w:rPr>
              <w:t>95</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2540" w:type="dxa"/>
            <w:vAlign w:val="bottom"/>
            <w:gridSpan w:val="9"/>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6.07</w:t>
            </w:r>
          </w:p>
        </w:tc>
        <w:tc>
          <w:tcPr>
            <w:tcW w:w="2540" w:type="dxa"/>
            <w:vAlign w:val="bottom"/>
            <w:gridSpan w:val="9"/>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Maintenance of Insurance</w:t>
            </w:r>
          </w:p>
        </w:tc>
        <w:tc>
          <w:tcPr>
            <w:tcW w:w="2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95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6.08</w:t>
            </w:r>
          </w:p>
        </w:tc>
        <w:tc>
          <w:tcPr>
            <w:tcW w:w="2100" w:type="dxa"/>
            <w:vAlign w:val="bottom"/>
            <w:gridSpan w:val="6"/>
          </w:tcPr>
          <w:p>
            <w:pPr>
              <w:spacing w:after="0" w:line="233" w:lineRule="exact"/>
              <w:rPr>
                <w:sz w:val="20"/>
                <w:szCs w:val="20"/>
                <w:color w:val="auto"/>
              </w:rPr>
            </w:pPr>
            <w:r>
              <w:rPr>
                <w:rFonts w:ascii="Times New Roman" w:cs="Times New Roman" w:eastAsia="Times New Roman" w:hAnsi="Times New Roman"/>
                <w:sz w:val="22"/>
                <w:szCs w:val="22"/>
                <w:b w:val="1"/>
                <w:bCs w:val="1"/>
                <w:color w:val="auto"/>
                <w:w w:val="96"/>
              </w:rPr>
              <w:t>Compliance with Laws</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95</w:t>
            </w:r>
          </w:p>
        </w:tc>
        <w:tc>
          <w:tcPr>
            <w:tcW w:w="200" w:type="dxa"/>
            <w:vAlign w:val="bottom"/>
            <w:tcBorders>
              <w:bottom w:val="single" w:sz="8" w:color="0000FF"/>
            </w:tcBorders>
          </w:tcPr>
          <w:p>
            <w:pPr>
              <w:spacing w:after="0" w:line="233" w:lineRule="exact"/>
              <w:rPr>
                <w:sz w:val="20"/>
                <w:szCs w:val="20"/>
                <w:color w:val="auto"/>
              </w:rPr>
            </w:pPr>
            <w:r>
              <w:rPr>
                <w:rFonts w:ascii="Times New Roman" w:cs="Times New Roman" w:eastAsia="Times New Roman" w:hAnsi="Times New Roman"/>
                <w:sz w:val="22"/>
                <w:szCs w:val="22"/>
                <w:color w:val="0000FF"/>
                <w:w w:val="81"/>
              </w:rPr>
              <w:t>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6.09</w:t>
            </w:r>
          </w:p>
        </w:tc>
        <w:tc>
          <w:tcPr>
            <w:tcW w:w="210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Books and Records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95</w:t>
            </w:r>
          </w:p>
        </w:tc>
        <w:tc>
          <w:tcPr>
            <w:tcW w:w="2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96</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2100" w:type="dxa"/>
            <w:vAlign w:val="bottom"/>
            <w:gridSpan w:val="6"/>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0000FF"/>
            </w:tcBorders>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6.10</w:t>
            </w:r>
          </w:p>
        </w:tc>
        <w:tc>
          <w:tcPr>
            <w:tcW w:w="1680" w:type="dxa"/>
            <w:vAlign w:val="bottom"/>
            <w:gridSpan w:val="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Inspection Rights</w:t>
            </w:r>
          </w:p>
        </w:tc>
        <w:tc>
          <w:tcPr>
            <w:tcW w:w="2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95</w:t>
            </w:r>
          </w:p>
        </w:tc>
        <w:tc>
          <w:tcPr>
            <w:tcW w:w="2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81"/>
              </w:rPr>
              <w:t>96</w:t>
            </w:r>
          </w:p>
        </w:tc>
        <w:tc>
          <w:tcPr>
            <w:tcW w:w="220" w:type="dxa"/>
            <w:vAlign w:val="bottom"/>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1680" w:type="dxa"/>
            <w:vAlign w:val="bottom"/>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00" w:type="dxa"/>
            <w:vAlign w:val="bottom"/>
            <w:tcBorders>
              <w:bottom w:val="single" w:sz="8" w:color="0000FF"/>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6.11</w:t>
            </w:r>
          </w:p>
        </w:tc>
        <w:tc>
          <w:tcPr>
            <w:tcW w:w="1900" w:type="dxa"/>
            <w:vAlign w:val="bottom"/>
            <w:gridSpan w:val="5"/>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Use of Proceeds  </w:t>
            </w:r>
            <w:r>
              <w:rPr>
                <w:rFonts w:ascii="Times New Roman" w:cs="Times New Roman" w:eastAsia="Times New Roman" w:hAnsi="Times New Roman"/>
                <w:sz w:val="22"/>
                <w:szCs w:val="22"/>
                <w:color w:val="auto"/>
              </w:rPr>
              <w:t>96</w:t>
            </w:r>
          </w:p>
        </w:tc>
        <w:tc>
          <w:tcPr>
            <w:tcW w:w="20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1900" w:type="dxa"/>
            <w:vAlign w:val="bottom"/>
            <w:gridSpan w:val="5"/>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6.12</w:t>
            </w:r>
          </w:p>
        </w:tc>
        <w:tc>
          <w:tcPr>
            <w:tcW w:w="5340" w:type="dxa"/>
            <w:vAlign w:val="bottom"/>
            <w:gridSpan w:val="17"/>
          </w:tcPr>
          <w:p>
            <w:pPr>
              <w:spacing w:after="0" w:line="243" w:lineRule="exact"/>
              <w:rPr>
                <w:sz w:val="20"/>
                <w:szCs w:val="20"/>
                <w:color w:val="auto"/>
              </w:rPr>
            </w:pPr>
            <w:r>
              <w:rPr>
                <w:rFonts w:ascii="Times New Roman" w:cs="Times New Roman" w:eastAsia="Times New Roman" w:hAnsi="Times New Roman"/>
                <w:sz w:val="22"/>
                <w:szCs w:val="22"/>
                <w:b w:val="1"/>
                <w:bCs w:val="1"/>
                <w:color w:val="auto"/>
                <w:w w:val="97"/>
              </w:rPr>
              <w:t xml:space="preserve">Additional Subsidiary Guarantors; Additional Security </w:t>
            </w:r>
            <w:r>
              <w:rPr>
                <w:rFonts w:ascii="Times New Roman" w:cs="Times New Roman" w:eastAsia="Times New Roman" w:hAnsi="Times New Roman"/>
                <w:sz w:val="22"/>
                <w:szCs w:val="22"/>
                <w:color w:val="auto"/>
                <w:w w:val="97"/>
              </w:rPr>
              <w:t>96</w:t>
            </w:r>
          </w:p>
        </w:tc>
        <w:tc>
          <w:tcPr>
            <w:tcW w:w="0" w:type="dxa"/>
            <w:vAlign w:val="bottom"/>
          </w:tcPr>
          <w:p>
            <w:pPr>
              <w:spacing w:after="0"/>
              <w:rPr>
                <w:sz w:val="1"/>
                <w:szCs w:val="1"/>
                <w:color w:val="auto"/>
              </w:rPr>
            </w:pPr>
          </w:p>
        </w:tc>
      </w:tr>
      <w:tr>
        <w:trPr>
          <w:trHeight w:val="234"/>
        </w:trPr>
        <w:tc>
          <w:tcPr>
            <w:tcW w:w="4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6.13</w:t>
            </w:r>
          </w:p>
        </w:tc>
        <w:tc>
          <w:tcPr>
            <w:tcW w:w="2360" w:type="dxa"/>
            <w:vAlign w:val="bottom"/>
            <w:gridSpan w:val="8"/>
          </w:tcPr>
          <w:p>
            <w:pPr>
              <w:spacing w:after="0" w:line="233" w:lineRule="exact"/>
              <w:rPr>
                <w:sz w:val="20"/>
                <w:szCs w:val="20"/>
                <w:color w:val="auto"/>
              </w:rPr>
            </w:pPr>
            <w:r>
              <w:rPr>
                <w:rFonts w:ascii="Times New Roman" w:cs="Times New Roman" w:eastAsia="Times New Roman" w:hAnsi="Times New Roman"/>
                <w:sz w:val="22"/>
                <w:szCs w:val="22"/>
                <w:color w:val="FF0000"/>
                <w:strike w:val="1"/>
                <w:w w:val="96"/>
              </w:rPr>
              <w:t>Designation as Senior Debt</w:t>
            </w:r>
          </w:p>
        </w:tc>
        <w:tc>
          <w:tcPr>
            <w:tcW w:w="180" w:type="dxa"/>
            <w:vAlign w:val="bottom"/>
          </w:tcPr>
          <w:p>
            <w:pPr>
              <w:spacing w:after="0"/>
              <w:rPr>
                <w:sz w:val="20"/>
                <w:szCs w:val="20"/>
                <w:color w:val="auto"/>
              </w:rPr>
            </w:pPr>
          </w:p>
        </w:tc>
        <w:tc>
          <w:tcPr>
            <w:tcW w:w="2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96</w:t>
            </w:r>
          </w:p>
        </w:tc>
        <w:tc>
          <w:tcPr>
            <w:tcW w:w="2580" w:type="dxa"/>
            <w:vAlign w:val="bottom"/>
            <w:gridSpan w:val="7"/>
          </w:tcPr>
          <w:p>
            <w:pPr>
              <w:spacing w:after="0" w:line="233" w:lineRule="exact"/>
              <w:rPr>
                <w:sz w:val="20"/>
                <w:szCs w:val="20"/>
                <w:color w:val="auto"/>
              </w:rPr>
            </w:pPr>
            <w:r>
              <w:rPr>
                <w:rFonts w:ascii="Times New Roman" w:cs="Times New Roman" w:eastAsia="Times New Roman" w:hAnsi="Times New Roman"/>
                <w:sz w:val="22"/>
                <w:szCs w:val="22"/>
                <w:b w:val="1"/>
                <w:bCs w:val="1"/>
                <w:color w:val="0000FF"/>
              </w:rPr>
              <w:t xml:space="preserve">[Intentionally Omitted]  </w:t>
            </w:r>
            <w:r>
              <w:rPr>
                <w:rFonts w:ascii="Times New Roman" w:cs="Times New Roman" w:eastAsia="Times New Roman" w:hAnsi="Times New Roman"/>
                <w:sz w:val="22"/>
                <w:szCs w:val="22"/>
                <w:color w:val="0000FF"/>
              </w:rPr>
              <w:t>97</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6.14</w:t>
            </w:r>
          </w:p>
        </w:tc>
        <w:tc>
          <w:tcPr>
            <w:tcW w:w="820" w:type="dxa"/>
            <w:vAlign w:val="bottom"/>
            <w:shd w:val="clear" w:color="auto" w:fill="FF0000"/>
          </w:tcPr>
          <w:p>
            <w:pPr>
              <w:spacing w:after="0" w:line="20" w:lineRule="exact"/>
              <w:rPr>
                <w:sz w:val="1"/>
                <w:szCs w:val="1"/>
                <w:color w:val="auto"/>
              </w:rPr>
            </w:pPr>
          </w:p>
        </w:tc>
        <w:tc>
          <w:tcPr>
            <w:tcW w:w="1540" w:type="dxa"/>
            <w:vAlign w:val="bottom"/>
            <w:gridSpan w:val="7"/>
            <w:shd w:val="clear" w:color="auto" w:fill="FF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2760" w:type="dxa"/>
            <w:vAlign w:val="bottom"/>
            <w:gridSpan w:val="10"/>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96"/>
              </w:rPr>
              <w:t>Approvals and Authorizations</w:t>
            </w:r>
          </w:p>
        </w:tc>
        <w:tc>
          <w:tcPr>
            <w:tcW w:w="220" w:type="dxa"/>
            <w:vAlign w:val="bottom"/>
            <w:tcBorders>
              <w:bottom w:val="single" w:sz="8" w:color="0000FF"/>
            </w:tcBorders>
            <w:gridSpan w:val="2"/>
          </w:tcPr>
          <w:p>
            <w:pPr>
              <w:spacing w:after="0" w:line="20" w:lineRule="exact"/>
              <w:rPr>
                <w:sz w:val="1"/>
                <w:szCs w:val="1"/>
                <w:color w:val="auto"/>
              </w:rPr>
            </w:pPr>
          </w:p>
        </w:tc>
        <w:tc>
          <w:tcPr>
            <w:tcW w:w="420" w:type="dxa"/>
            <w:vAlign w:val="bottom"/>
            <w:tcBorders>
              <w:bottom w:val="single" w:sz="8" w:color="0000FF"/>
            </w:tcBorders>
            <w:gridSpan w:val="2"/>
          </w:tcPr>
          <w:p>
            <w:pPr>
              <w:spacing w:after="0" w:line="20" w:lineRule="exact"/>
              <w:rPr>
                <w:sz w:val="1"/>
                <w:szCs w:val="1"/>
                <w:color w:val="auto"/>
              </w:rPr>
            </w:pPr>
          </w:p>
        </w:tc>
        <w:tc>
          <w:tcPr>
            <w:tcW w:w="15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 w:type="dxa"/>
            <w:vAlign w:val="bottom"/>
            <w:vMerge w:val="continue"/>
          </w:tcPr>
          <w:p>
            <w:pPr>
              <w:spacing w:after="0"/>
              <w:rPr>
                <w:sz w:val="15"/>
                <w:szCs w:val="15"/>
                <w:color w:val="auto"/>
              </w:rPr>
            </w:pPr>
          </w:p>
        </w:tc>
        <w:tc>
          <w:tcPr>
            <w:tcW w:w="2760" w:type="dxa"/>
            <w:vAlign w:val="bottom"/>
            <w:gridSpan w:val="10"/>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jc w:val="right"/>
              <w:spacing w:after="0" w:line="183" w:lineRule="exact"/>
              <w:rPr>
                <w:sz w:val="20"/>
                <w:szCs w:val="20"/>
                <w:color w:val="auto"/>
              </w:rPr>
            </w:pPr>
            <w:r>
              <w:rPr>
                <w:rFonts w:ascii="Times New Roman" w:cs="Times New Roman" w:eastAsia="Times New Roman" w:hAnsi="Times New Roman"/>
                <w:sz w:val="21"/>
                <w:szCs w:val="21"/>
                <w:color w:val="FF0000"/>
                <w:strike w:val="1"/>
                <w:w w:val="85"/>
              </w:rPr>
              <w:t>96</w:t>
            </w:r>
          </w:p>
        </w:tc>
        <w:tc>
          <w:tcPr>
            <w:tcW w:w="22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97</w:t>
            </w: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6.15</w:t>
            </w:r>
          </w:p>
        </w:tc>
        <w:tc>
          <w:tcPr>
            <w:tcW w:w="2100" w:type="dxa"/>
            <w:vAlign w:val="bottom"/>
            <w:gridSpan w:val="6"/>
            <w:vMerge w:val="restart"/>
          </w:tcPr>
          <w:p>
            <w:pPr>
              <w:spacing w:after="0"/>
              <w:rPr>
                <w:sz w:val="20"/>
                <w:szCs w:val="20"/>
                <w:color w:val="auto"/>
              </w:rPr>
            </w:pPr>
            <w:r>
              <w:rPr>
                <w:rFonts w:ascii="Times New Roman" w:cs="Times New Roman" w:eastAsia="Times New Roman" w:hAnsi="Times New Roman"/>
                <w:sz w:val="22"/>
                <w:szCs w:val="22"/>
                <w:b w:val="1"/>
                <w:bCs w:val="1"/>
                <w:color w:val="auto"/>
              </w:rPr>
              <w:t>Further Assurances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0"/>
              </w:rPr>
              <w:t>97</w:t>
            </w: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5"/>
        </w:trPr>
        <w:tc>
          <w:tcPr>
            <w:tcW w:w="480" w:type="dxa"/>
            <w:vAlign w:val="bottom"/>
            <w:vMerge w:val="continue"/>
          </w:tcPr>
          <w:p>
            <w:pPr>
              <w:spacing w:after="0"/>
              <w:rPr>
                <w:sz w:val="20"/>
                <w:szCs w:val="20"/>
                <w:color w:val="auto"/>
              </w:rPr>
            </w:pPr>
          </w:p>
        </w:tc>
        <w:tc>
          <w:tcPr>
            <w:tcW w:w="2100" w:type="dxa"/>
            <w:vAlign w:val="bottom"/>
            <w:gridSpan w:val="6"/>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p>
      <w:pPr>
        <w:jc w:val="right"/>
        <w:spacing w:after="0"/>
        <w:rPr>
          <w:sz w:val="20"/>
          <w:szCs w:val="20"/>
          <w:color w:val="auto"/>
        </w:rPr>
      </w:pPr>
      <w:r>
        <w:rPr>
          <w:rFonts w:ascii="Times New Roman" w:cs="Times New Roman" w:eastAsia="Times New Roman" w:hAnsi="Times New Roman"/>
          <w:sz w:val="22"/>
          <w:szCs w:val="22"/>
          <w:u w:val="single" w:color="auto"/>
          <w:color w:val="auto"/>
        </w:rPr>
        <w:t>Page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6.16  Information Regarding Collateral.  </w:t>
      </w:r>
      <w:r>
        <w:rPr>
          <w:rFonts w:ascii="Times New Roman" w:cs="Times New Roman" w:eastAsia="Times New Roman" w:hAnsi="Times New Roman"/>
          <w:sz w:val="22"/>
          <w:szCs w:val="22"/>
          <w:color w:val="FF0000"/>
          <w:strike w:val="1"/>
        </w:rPr>
        <w:t>97</w:t>
      </w:r>
      <w:r>
        <w:rPr>
          <w:rFonts w:ascii="Times New Roman" w:cs="Times New Roman" w:eastAsia="Times New Roman" w:hAnsi="Times New Roman"/>
          <w:sz w:val="22"/>
          <w:szCs w:val="22"/>
          <w:u w:val="single" w:color="auto"/>
          <w:color w:val="0000FF"/>
        </w:rPr>
        <w:t>98</w:t>
      </w:r>
    </w:p>
    <w:p>
      <w:pPr>
        <w:spacing w:after="0" w:line="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6.17 Post-Closing Date Obligations.  </w:t>
      </w:r>
      <w:r>
        <w:rPr>
          <w:rFonts w:ascii="Times New Roman" w:cs="Times New Roman" w:eastAsia="Times New Roman" w:hAnsi="Times New Roman"/>
          <w:sz w:val="22"/>
          <w:szCs w:val="22"/>
          <w:color w:val="FF0000"/>
          <w:strike w:val="1"/>
        </w:rPr>
        <w:t>97</w:t>
      </w:r>
      <w:r>
        <w:rPr>
          <w:rFonts w:ascii="Times New Roman" w:cs="Times New Roman" w:eastAsia="Times New Roman" w:hAnsi="Times New Roman"/>
          <w:sz w:val="22"/>
          <w:szCs w:val="22"/>
          <w:u w:val="single" w:color="auto"/>
          <w:color w:val="0000FF"/>
        </w:rPr>
        <w:t>98</w:t>
      </w:r>
    </w:p>
    <w:p>
      <w:pPr>
        <w:ind w:left="760"/>
        <w:spacing w:after="0"/>
        <w:rPr>
          <w:sz w:val="20"/>
          <w:szCs w:val="20"/>
          <w:color w:val="auto"/>
        </w:rPr>
      </w:pPr>
      <w:r>
        <w:rPr>
          <w:rFonts w:ascii="Times New Roman" w:cs="Times New Roman" w:eastAsia="Times New Roman" w:hAnsi="Times New Roman"/>
          <w:sz w:val="22"/>
          <w:szCs w:val="22"/>
          <w:b w:val="1"/>
          <w:bCs w:val="1"/>
          <w:color w:val="auto"/>
        </w:rPr>
        <w:t xml:space="preserve">6.18 Anti-Corruption Laws </w:t>
      </w:r>
      <w:r>
        <w:rPr>
          <w:rFonts w:ascii="Times New Roman" w:cs="Times New Roman" w:eastAsia="Times New Roman" w:hAnsi="Times New Roman"/>
          <w:sz w:val="22"/>
          <w:szCs w:val="22"/>
          <w:color w:val="FF0000"/>
          <w:strike w:val="1"/>
        </w:rPr>
        <w:t>97</w:t>
      </w:r>
      <w:r>
        <w:rPr>
          <w:rFonts w:ascii="Times New Roman" w:cs="Times New Roman" w:eastAsia="Times New Roman" w:hAnsi="Times New Roman"/>
          <w:sz w:val="22"/>
          <w:szCs w:val="22"/>
          <w:u w:val="single" w:color="auto"/>
          <w:color w:val="0000FF"/>
        </w:rPr>
        <w:t>98</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VII. NEGATIVE COVENANTS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7.01</w:t>
            </w:r>
          </w:p>
        </w:tc>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Liens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81"/>
              </w:rPr>
              <w:t>97</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98</w:t>
            </w:r>
          </w:p>
        </w:tc>
        <w:tc>
          <w:tcPr>
            <w:tcW w:w="2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12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20" w:type="dxa"/>
            <w:vAlign w:val="bottom"/>
            <w:tcBorders>
              <w:bottom w:val="single" w:sz="8" w:color="0000FF"/>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7.02</w:t>
            </w:r>
          </w:p>
        </w:tc>
        <w:tc>
          <w:tcPr>
            <w:tcW w:w="10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w w:val="87"/>
              </w:rPr>
              <w:t>Investments</w:t>
            </w:r>
          </w:p>
        </w:tc>
        <w:tc>
          <w:tcPr>
            <w:tcW w:w="220" w:type="dxa"/>
            <w:vAlign w:val="bottom"/>
            <w:tcBorders>
              <w:bottom w:val="single" w:sz="8" w:color="0000FF"/>
            </w:tcBorders>
          </w:tcPr>
          <w:p>
            <w:pPr>
              <w:spacing w:after="0" w:line="20" w:lineRule="exact"/>
              <w:rPr>
                <w:sz w:val="1"/>
                <w:szCs w:val="1"/>
                <w:color w:val="auto"/>
              </w:rPr>
            </w:pPr>
          </w:p>
        </w:tc>
        <w:tc>
          <w:tcPr>
            <w:tcW w:w="22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color w:val="FF0000"/>
                <w:strike w:val="1"/>
                <w:w w:val="90"/>
              </w:rPr>
              <w:t>99</w:t>
            </w:r>
          </w:p>
        </w:tc>
        <w:tc>
          <w:tcPr>
            <w:tcW w:w="3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100</w:t>
            </w: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320" w:type="dxa"/>
            <w:vAlign w:val="bottom"/>
            <w:tcBorders>
              <w:bottom w:val="single" w:sz="8" w:color="0000FF"/>
            </w:tcBorders>
            <w:gridSpan w:val="3"/>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7.03</w:t>
            </w: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 w:type="dxa"/>
            <w:vAlign w:val="bottom"/>
            <w:vMerge w:val="continue"/>
          </w:tcPr>
          <w:p>
            <w:pPr>
              <w:spacing w:after="0"/>
              <w:rPr>
                <w:sz w:val="15"/>
                <w:szCs w:val="15"/>
                <w:color w:val="auto"/>
              </w:rPr>
            </w:pPr>
          </w:p>
        </w:tc>
        <w:tc>
          <w:tcPr>
            <w:tcW w:w="1240" w:type="dxa"/>
            <w:vAlign w:val="bottom"/>
            <w:gridSpan w:val="3"/>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Indebtedness</w:t>
            </w:r>
          </w:p>
        </w:tc>
        <w:tc>
          <w:tcPr>
            <w:tcW w:w="320" w:type="dxa"/>
            <w:vAlign w:val="bottom"/>
            <w:gridSpan w:val="2"/>
          </w:tcPr>
          <w:p>
            <w:pPr>
              <w:spacing w:after="0" w:line="183" w:lineRule="exact"/>
              <w:rPr>
                <w:sz w:val="20"/>
                <w:szCs w:val="20"/>
                <w:color w:val="auto"/>
              </w:rPr>
            </w:pPr>
            <w:r>
              <w:rPr>
                <w:rFonts w:ascii="Times New Roman" w:cs="Times New Roman" w:eastAsia="Times New Roman" w:hAnsi="Times New Roman"/>
                <w:sz w:val="21"/>
                <w:szCs w:val="21"/>
                <w:color w:val="FF0000"/>
                <w:strike w:val="1"/>
                <w:w w:val="95"/>
              </w:rPr>
              <w:t>101</w:t>
            </w:r>
          </w:p>
        </w:tc>
        <w:tc>
          <w:tcPr>
            <w:tcW w:w="340" w:type="dxa"/>
            <w:vAlign w:val="bottom"/>
            <w:tcBorders>
              <w:bottom w:val="single" w:sz="8" w:color="0000FF"/>
            </w:tcBorders>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0000FF"/>
              </w:rPr>
              <w:t>102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7.04</w:t>
            </w: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540" w:type="dxa"/>
            <w:vAlign w:val="bottom"/>
            <w:gridSpan w:val="4"/>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103</w:t>
            </w:r>
          </w:p>
        </w:tc>
        <w:tc>
          <w:tcPr>
            <w:tcW w:w="10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1900" w:type="dxa"/>
            <w:vAlign w:val="bottom"/>
            <w:gridSpan w:val="8"/>
          </w:tcPr>
          <w:p>
            <w:pPr>
              <w:spacing w:after="0" w:line="191" w:lineRule="exact"/>
              <w:rPr>
                <w:sz w:val="20"/>
                <w:szCs w:val="20"/>
                <w:color w:val="auto"/>
              </w:rPr>
            </w:pPr>
            <w:r>
              <w:rPr>
                <w:rFonts w:ascii="Times New Roman" w:cs="Times New Roman" w:eastAsia="Times New Roman" w:hAnsi="Times New Roman"/>
                <w:sz w:val="22"/>
                <w:szCs w:val="22"/>
                <w:b w:val="1"/>
                <w:bCs w:val="1"/>
                <w:color w:val="auto"/>
                <w:w w:val="88"/>
              </w:rPr>
              <w:t>Fundamental Changes</w:t>
            </w:r>
          </w:p>
        </w:tc>
        <w:tc>
          <w:tcPr>
            <w:tcW w:w="540" w:type="dxa"/>
            <w:vAlign w:val="bottom"/>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7.05</w:t>
            </w:r>
          </w:p>
        </w:tc>
        <w:tc>
          <w:tcPr>
            <w:tcW w:w="1240" w:type="dxa"/>
            <w:vAlign w:val="bottom"/>
            <w:gridSpan w:val="3"/>
          </w:tcPr>
          <w:p>
            <w:pPr>
              <w:spacing w:after="0" w:line="233" w:lineRule="exact"/>
              <w:rPr>
                <w:sz w:val="20"/>
                <w:szCs w:val="20"/>
                <w:color w:val="auto"/>
              </w:rPr>
            </w:pPr>
            <w:r>
              <w:rPr>
                <w:rFonts w:ascii="Times New Roman" w:cs="Times New Roman" w:eastAsia="Times New Roman" w:hAnsi="Times New Roman"/>
                <w:sz w:val="22"/>
                <w:szCs w:val="22"/>
                <w:b w:val="1"/>
                <w:bCs w:val="1"/>
                <w:color w:val="auto"/>
              </w:rPr>
              <w:t>Dispositions</w:t>
            </w:r>
          </w:p>
        </w:tc>
        <w:tc>
          <w:tcPr>
            <w:tcW w:w="320" w:type="dxa"/>
            <w:vAlign w:val="bottom"/>
            <w:gridSpan w:val="2"/>
          </w:tcPr>
          <w:p>
            <w:pPr>
              <w:spacing w:after="0" w:line="233" w:lineRule="exact"/>
              <w:rPr>
                <w:sz w:val="20"/>
                <w:szCs w:val="20"/>
                <w:color w:val="auto"/>
              </w:rPr>
            </w:pPr>
            <w:r>
              <w:rPr>
                <w:rFonts w:ascii="Times New Roman" w:cs="Times New Roman" w:eastAsia="Times New Roman" w:hAnsi="Times New Roman"/>
                <w:sz w:val="22"/>
                <w:szCs w:val="22"/>
                <w:color w:val="FF0000"/>
                <w:strike w:val="1"/>
                <w:w w:val="90"/>
              </w:rPr>
              <w:t>103</w:t>
            </w:r>
          </w:p>
        </w:tc>
        <w:tc>
          <w:tcPr>
            <w:tcW w:w="340" w:type="dxa"/>
            <w:vAlign w:val="bottom"/>
            <w:tcBorders>
              <w:bottom w:val="single" w:sz="8" w:color="0000FF"/>
            </w:tcBorders>
            <w:gridSpan w:val="3"/>
          </w:tcPr>
          <w:p>
            <w:pPr>
              <w:jc w:val="right"/>
              <w:spacing w:after="0" w:line="233" w:lineRule="exact"/>
              <w:rPr>
                <w:sz w:val="20"/>
                <w:szCs w:val="20"/>
                <w:color w:val="auto"/>
              </w:rPr>
            </w:pPr>
            <w:r>
              <w:rPr>
                <w:rFonts w:ascii="Times New Roman" w:cs="Times New Roman" w:eastAsia="Times New Roman" w:hAnsi="Times New Roman"/>
                <w:sz w:val="22"/>
                <w:szCs w:val="22"/>
                <w:color w:val="0000FF"/>
                <w:w w:val="96"/>
              </w:rPr>
              <w:t>104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7.06</w:t>
            </w:r>
          </w:p>
        </w:tc>
        <w:tc>
          <w:tcPr>
            <w:tcW w:w="8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104</w:t>
            </w:r>
          </w:p>
        </w:tc>
        <w:tc>
          <w:tcPr>
            <w:tcW w:w="320" w:type="dxa"/>
            <w:vAlign w:val="bottom"/>
            <w:gridSpan w:val="2"/>
            <w:vMerge w:val="restart"/>
          </w:tcPr>
          <w:p>
            <w:pPr>
              <w:spacing w:after="0" w:line="223" w:lineRule="exact"/>
              <w:rPr>
                <w:sz w:val="20"/>
                <w:szCs w:val="20"/>
                <w:color w:val="auto"/>
              </w:rPr>
            </w:pPr>
            <w:r>
              <w:rPr>
                <w:rFonts w:ascii="Times New Roman" w:cs="Times New Roman" w:eastAsia="Times New Roman" w:hAnsi="Times New Roman"/>
                <w:sz w:val="22"/>
                <w:szCs w:val="22"/>
                <w:color w:val="0000FF"/>
                <w:w w:val="90"/>
              </w:rPr>
              <w:t>105</w:t>
            </w: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1900" w:type="dxa"/>
            <w:vAlign w:val="bottom"/>
            <w:gridSpan w:val="8"/>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Restricted Payments</w:t>
            </w:r>
          </w:p>
        </w:tc>
        <w:tc>
          <w:tcPr>
            <w:tcW w:w="10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320" w:type="dxa"/>
            <w:vAlign w:val="bottom"/>
            <w:tcBorders>
              <w:bottom w:val="single" w:sz="8" w:color="0000FF"/>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7.07</w:t>
            </w:r>
          </w:p>
        </w:tc>
        <w:tc>
          <w:tcPr>
            <w:tcW w:w="8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 w:type="dxa"/>
            <w:vAlign w:val="bottom"/>
            <w:vMerge w:val="continue"/>
          </w:tcPr>
          <w:p>
            <w:pPr>
              <w:spacing w:after="0"/>
              <w:rPr>
                <w:sz w:val="15"/>
                <w:szCs w:val="15"/>
                <w:color w:val="auto"/>
              </w:rPr>
            </w:pPr>
          </w:p>
        </w:tc>
        <w:tc>
          <w:tcPr>
            <w:tcW w:w="2760" w:type="dxa"/>
            <w:vAlign w:val="bottom"/>
            <w:gridSpan w:val="14"/>
          </w:tcPr>
          <w:p>
            <w:pPr>
              <w:spacing w:after="0" w:line="183" w:lineRule="exact"/>
              <w:rPr>
                <w:sz w:val="20"/>
                <w:szCs w:val="20"/>
                <w:color w:val="auto"/>
              </w:rPr>
            </w:pPr>
            <w:r>
              <w:rPr>
                <w:rFonts w:ascii="Times New Roman" w:cs="Times New Roman" w:eastAsia="Times New Roman" w:hAnsi="Times New Roman"/>
                <w:sz w:val="21"/>
                <w:szCs w:val="21"/>
                <w:b w:val="1"/>
                <w:bCs w:val="1"/>
                <w:color w:val="auto"/>
              </w:rPr>
              <w:t>Change in Nature of Business</w:t>
            </w:r>
          </w:p>
        </w:tc>
        <w:tc>
          <w:tcPr>
            <w:tcW w:w="100" w:type="dxa"/>
            <w:vAlign w:val="bottom"/>
          </w:tcPr>
          <w:p>
            <w:pPr>
              <w:spacing w:after="0"/>
              <w:rPr>
                <w:sz w:val="15"/>
                <w:szCs w:val="15"/>
                <w:color w:val="auto"/>
              </w:rPr>
            </w:pPr>
          </w:p>
        </w:tc>
        <w:tc>
          <w:tcPr>
            <w:tcW w:w="4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FF0000"/>
                <w:strike w:val="1"/>
              </w:rPr>
              <w:t>105</w:t>
            </w:r>
          </w:p>
        </w:tc>
        <w:tc>
          <w:tcPr>
            <w:tcW w:w="320" w:type="dxa"/>
            <w:vAlign w:val="bottom"/>
            <w:tcBorders>
              <w:bottom w:val="single" w:sz="8" w:color="0000FF"/>
            </w:tcBorders>
            <w:gridSpan w:val="2"/>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106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7.08</w:t>
            </w:r>
          </w:p>
        </w:tc>
        <w:tc>
          <w:tcPr>
            <w:tcW w:w="2760" w:type="dxa"/>
            <w:vAlign w:val="bottom"/>
            <w:gridSpan w:val="14"/>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Transactions with Affiliates</w:t>
            </w:r>
          </w:p>
        </w:tc>
        <w:tc>
          <w:tcPr>
            <w:tcW w:w="100" w:type="dxa"/>
            <w:vAlign w:val="bottom"/>
            <w:vMerge w:val="restart"/>
          </w:tcPr>
          <w:p>
            <w:pPr>
              <w:spacing w:after="0" w:line="20" w:lineRule="exact"/>
              <w:rPr>
                <w:sz w:val="1"/>
                <w:szCs w:val="1"/>
                <w:color w:val="auto"/>
              </w:rPr>
            </w:pPr>
          </w:p>
        </w:tc>
        <w:tc>
          <w:tcPr>
            <w:tcW w:w="44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105</w:t>
            </w:r>
          </w:p>
        </w:tc>
        <w:tc>
          <w:tcPr>
            <w:tcW w:w="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 w:type="dxa"/>
            <w:vAlign w:val="bottom"/>
            <w:vMerge w:val="continue"/>
          </w:tcPr>
          <w:p>
            <w:pPr>
              <w:spacing w:after="0"/>
              <w:rPr>
                <w:sz w:val="15"/>
                <w:szCs w:val="15"/>
                <w:color w:val="auto"/>
              </w:rPr>
            </w:pPr>
          </w:p>
        </w:tc>
        <w:tc>
          <w:tcPr>
            <w:tcW w:w="2760" w:type="dxa"/>
            <w:vAlign w:val="bottom"/>
            <w:gridSpan w:val="1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0000FF"/>
            </w:tcBorders>
          </w:tcPr>
          <w:p>
            <w:pPr>
              <w:jc w:val="right"/>
              <w:spacing w:after="0" w:line="183" w:lineRule="exact"/>
              <w:rPr>
                <w:sz w:val="20"/>
                <w:szCs w:val="20"/>
                <w:color w:val="auto"/>
              </w:rPr>
            </w:pPr>
            <w:r>
              <w:rPr>
                <w:rFonts w:ascii="Times New Roman" w:cs="Times New Roman" w:eastAsia="Times New Roman" w:hAnsi="Times New Roman"/>
                <w:sz w:val="21"/>
                <w:szCs w:val="21"/>
                <w:color w:val="0000FF"/>
                <w:w w:val="88"/>
              </w:rPr>
              <w:t>106</w:t>
            </w:r>
          </w:p>
        </w:tc>
        <w:tc>
          <w:tcPr>
            <w:tcW w:w="20" w:type="dxa"/>
            <w:vAlign w:val="bottom"/>
            <w:tcBorders>
              <w:bottom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7.09</w:t>
            </w:r>
          </w:p>
        </w:tc>
        <w:tc>
          <w:tcPr>
            <w:tcW w:w="2540" w:type="dxa"/>
            <w:vAlign w:val="bottom"/>
            <w:gridSpan w:val="13"/>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Burdensome Agreements</w:t>
            </w: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105</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106</w:t>
            </w:r>
          </w:p>
        </w:tc>
        <w:tc>
          <w:tcPr>
            <w:tcW w:w="140" w:type="dxa"/>
            <w:vAlign w:val="bottom"/>
            <w:gridSpan w:val="2"/>
            <w:vMerge w:val="restart"/>
          </w:tcPr>
          <w:p>
            <w:pPr>
              <w:spacing w:after="0" w:line="20" w:lineRule="exact"/>
              <w:rPr>
                <w:sz w:val="1"/>
                <w:szCs w:val="1"/>
                <w:color w:val="auto"/>
              </w:rPr>
            </w:pPr>
          </w:p>
        </w:tc>
        <w:tc>
          <w:tcPr>
            <w:tcW w:w="320" w:type="dxa"/>
            <w:vAlign w:val="bottom"/>
            <w:tcBorders>
              <w:bottom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2540" w:type="dxa"/>
            <w:vAlign w:val="bottom"/>
            <w:gridSpan w:val="13"/>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320" w:type="dxa"/>
            <w:vAlign w:val="bottom"/>
            <w:tcBorders>
              <w:bottom w:val="single" w:sz="8" w:color="0000FF"/>
            </w:tcBorders>
            <w:vMerge w:val="continue"/>
          </w:tcPr>
          <w:p>
            <w:pPr>
              <w:spacing w:after="0"/>
              <w:rPr>
                <w:sz w:val="15"/>
                <w:szCs w:val="15"/>
                <w:color w:val="auto"/>
              </w:rPr>
            </w:pPr>
          </w:p>
        </w:tc>
        <w:tc>
          <w:tcPr>
            <w:tcW w:w="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7.10</w:t>
            </w:r>
          </w:p>
        </w:tc>
        <w:tc>
          <w:tcPr>
            <w:tcW w:w="1680" w:type="dxa"/>
            <w:vAlign w:val="bottom"/>
            <w:gridSpan w:val="6"/>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Use of Proceeds</w:t>
            </w:r>
          </w:p>
        </w:tc>
        <w:tc>
          <w:tcPr>
            <w:tcW w:w="320" w:type="dxa"/>
            <w:vAlign w:val="bottom"/>
            <w:gridSpan w:val="3"/>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106</w:t>
            </w: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107</w:t>
            </w: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80" w:type="dxa"/>
            <w:vAlign w:val="bottom"/>
            <w:vMerge w:val="continue"/>
          </w:tcPr>
          <w:p>
            <w:pPr>
              <w:spacing w:after="0"/>
              <w:rPr>
                <w:sz w:val="15"/>
                <w:szCs w:val="15"/>
                <w:color w:val="auto"/>
              </w:rPr>
            </w:pPr>
          </w:p>
        </w:tc>
        <w:tc>
          <w:tcPr>
            <w:tcW w:w="1680" w:type="dxa"/>
            <w:vAlign w:val="bottom"/>
            <w:gridSpan w:val="6"/>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320" w:type="dxa"/>
            <w:vAlign w:val="bottom"/>
            <w:tcBorders>
              <w:bottom w:val="single" w:sz="8" w:color="0000FF"/>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8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7.11</w:t>
            </w:r>
          </w:p>
        </w:tc>
        <w:tc>
          <w:tcPr>
            <w:tcW w:w="2000" w:type="dxa"/>
            <w:vAlign w:val="bottom"/>
            <w:gridSpan w:val="9"/>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Financial Covenants</w:t>
            </w:r>
          </w:p>
        </w:tc>
        <w:tc>
          <w:tcPr>
            <w:tcW w:w="3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80" w:type="dxa"/>
            <w:vAlign w:val="bottom"/>
            <w:vMerge w:val="continue"/>
          </w:tcPr>
          <w:p>
            <w:pPr>
              <w:spacing w:after="0"/>
              <w:rPr>
                <w:sz w:val="15"/>
                <w:szCs w:val="15"/>
                <w:color w:val="auto"/>
              </w:rPr>
            </w:pPr>
          </w:p>
        </w:tc>
        <w:tc>
          <w:tcPr>
            <w:tcW w:w="2000" w:type="dxa"/>
            <w:vAlign w:val="bottom"/>
            <w:gridSpan w:val="9"/>
            <w:vMerge w:val="continue"/>
          </w:tcPr>
          <w:p>
            <w:pPr>
              <w:spacing w:after="0"/>
              <w:rPr>
                <w:sz w:val="15"/>
                <w:szCs w:val="15"/>
                <w:color w:val="auto"/>
              </w:rPr>
            </w:pPr>
          </w:p>
        </w:tc>
        <w:tc>
          <w:tcPr>
            <w:tcW w:w="44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21"/>
                <w:szCs w:val="21"/>
                <w:color w:val="FF0000"/>
                <w:strike w:val="1"/>
              </w:rPr>
              <w:t>106</w:t>
            </w:r>
          </w:p>
        </w:tc>
        <w:tc>
          <w:tcPr>
            <w:tcW w:w="320" w:type="dxa"/>
            <w:vAlign w:val="bottom"/>
            <w:tcBorders>
              <w:bottom w:val="single" w:sz="8" w:color="0000FF"/>
            </w:tcBorders>
            <w:gridSpan w:val="2"/>
          </w:tcPr>
          <w:p>
            <w:pPr>
              <w:spacing w:after="0" w:line="183" w:lineRule="exact"/>
              <w:rPr>
                <w:sz w:val="20"/>
                <w:szCs w:val="20"/>
                <w:color w:val="auto"/>
              </w:rPr>
            </w:pPr>
            <w:r>
              <w:rPr>
                <w:rFonts w:ascii="Times New Roman" w:cs="Times New Roman" w:eastAsia="Times New Roman" w:hAnsi="Times New Roman"/>
                <w:sz w:val="21"/>
                <w:szCs w:val="21"/>
                <w:color w:val="0000FF"/>
                <w:w w:val="95"/>
              </w:rPr>
              <w:t>107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7.12</w:t>
            </w:r>
          </w:p>
        </w:tc>
        <w:tc>
          <w:tcPr>
            <w:tcW w:w="2440" w:type="dxa"/>
            <w:vAlign w:val="bottom"/>
            <w:gridSpan w:val="12"/>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Accounting Policies and</w:t>
            </w:r>
          </w:p>
        </w:tc>
        <w:tc>
          <w:tcPr>
            <w:tcW w:w="320" w:type="dxa"/>
            <w:vAlign w:val="bottom"/>
            <w:tcBorders>
              <w:bottom w:val="single" w:sz="8" w:color="0000FF"/>
            </w:tcBorders>
            <w:gridSpan w:val="2"/>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2440" w:type="dxa"/>
            <w:vAlign w:val="bottom"/>
            <w:gridSpan w:val="12"/>
            <w:vMerge w:val="continue"/>
          </w:tcPr>
          <w:p>
            <w:pPr>
              <w:spacing w:after="0"/>
              <w:rPr>
                <w:sz w:val="16"/>
                <w:szCs w:val="16"/>
                <w:color w:val="auto"/>
              </w:rPr>
            </w:pPr>
          </w:p>
        </w:tc>
        <w:tc>
          <w:tcPr>
            <w:tcW w:w="1340" w:type="dxa"/>
            <w:vAlign w:val="bottom"/>
            <w:gridSpan w:val="9"/>
          </w:tcPr>
          <w:p>
            <w:pPr>
              <w:spacing w:after="0" w:line="191" w:lineRule="exact"/>
              <w:rPr>
                <w:sz w:val="20"/>
                <w:szCs w:val="20"/>
                <w:color w:val="auto"/>
              </w:rPr>
            </w:pPr>
            <w:r>
              <w:rPr>
                <w:rFonts w:ascii="Times New Roman" w:cs="Times New Roman" w:eastAsia="Times New Roman" w:hAnsi="Times New Roman"/>
                <w:sz w:val="22"/>
                <w:szCs w:val="22"/>
                <w:b w:val="1"/>
                <w:bCs w:val="1"/>
                <w:color w:val="auto"/>
                <w:w w:val="91"/>
              </w:rPr>
              <w:t xml:space="preserve">Procedures </w:t>
            </w:r>
            <w:r>
              <w:rPr>
                <w:rFonts w:ascii="Times New Roman" w:cs="Times New Roman" w:eastAsia="Times New Roman" w:hAnsi="Times New Roman"/>
                <w:sz w:val="22"/>
                <w:szCs w:val="22"/>
                <w:color w:val="auto"/>
                <w:w w:val="91"/>
              </w:rPr>
              <w:t>107</w:t>
            </w: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7.13</w:t>
            </w:r>
          </w:p>
        </w:tc>
        <w:tc>
          <w:tcPr>
            <w:tcW w:w="2340" w:type="dxa"/>
            <w:vAlign w:val="bottom"/>
            <w:gridSpan w:val="11"/>
          </w:tcPr>
          <w:p>
            <w:pPr>
              <w:spacing w:after="0" w:line="233" w:lineRule="exact"/>
              <w:rPr>
                <w:sz w:val="20"/>
                <w:szCs w:val="20"/>
                <w:color w:val="auto"/>
              </w:rPr>
            </w:pPr>
            <w:r>
              <w:rPr>
                <w:rFonts w:ascii="Times New Roman" w:cs="Times New Roman" w:eastAsia="Times New Roman" w:hAnsi="Times New Roman"/>
                <w:sz w:val="22"/>
                <w:szCs w:val="22"/>
                <w:color w:val="FF0000"/>
                <w:strike w:val="1"/>
                <w:w w:val="97"/>
              </w:rPr>
              <w:t>Subordinated Indebtedness</w:t>
            </w:r>
          </w:p>
        </w:tc>
        <w:tc>
          <w:tcPr>
            <w:tcW w:w="2680" w:type="dxa"/>
            <w:vAlign w:val="bottom"/>
            <w:gridSpan w:val="12"/>
          </w:tcPr>
          <w:p>
            <w:pPr>
              <w:spacing w:after="0" w:line="233" w:lineRule="exact"/>
              <w:rPr>
                <w:sz w:val="20"/>
                <w:szCs w:val="20"/>
                <w:color w:val="auto"/>
              </w:rPr>
            </w:pPr>
            <w:r>
              <w:rPr>
                <w:rFonts w:ascii="Times New Roman" w:cs="Times New Roman" w:eastAsia="Times New Roman" w:hAnsi="Times New Roman"/>
                <w:sz w:val="22"/>
                <w:szCs w:val="22"/>
                <w:b w:val="1"/>
                <w:bCs w:val="1"/>
                <w:color w:val="0000FF"/>
              </w:rPr>
              <w:t xml:space="preserve">[Intentionally Omitted]  </w:t>
            </w:r>
            <w:r>
              <w:rPr>
                <w:rFonts w:ascii="Times New Roman" w:cs="Times New Roman" w:eastAsia="Times New Roman" w:hAnsi="Times New Roman"/>
                <w:sz w:val="22"/>
                <w:szCs w:val="22"/>
                <w:color w:val="000000"/>
              </w:rPr>
              <w:t>107</w:t>
            </w:r>
          </w:p>
        </w:tc>
        <w:tc>
          <w:tcPr>
            <w:tcW w:w="0" w:type="dxa"/>
            <w:vAlign w:val="bottom"/>
          </w:tcPr>
          <w:p>
            <w:pPr>
              <w:spacing w:after="0"/>
              <w:rPr>
                <w:sz w:val="1"/>
                <w:szCs w:val="1"/>
                <w:color w:val="auto"/>
              </w:rPr>
            </w:pPr>
          </w:p>
        </w:tc>
      </w:tr>
      <w:tr>
        <w:trPr>
          <w:trHeight w:val="20"/>
        </w:trPr>
        <w:tc>
          <w:tcPr>
            <w:tcW w:w="48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7.14</w:t>
            </w:r>
          </w:p>
        </w:tc>
        <w:tc>
          <w:tcPr>
            <w:tcW w:w="2000" w:type="dxa"/>
            <w:vAlign w:val="bottom"/>
            <w:tcBorders>
              <w:top w:val="single" w:sz="8" w:color="FF0000"/>
              <w:bottom w:val="single" w:sz="8" w:color="FF0000"/>
            </w:tcBorders>
            <w:gridSpan w:val="9"/>
            <w:vMerge w:val="restart"/>
          </w:tcPr>
          <w:p>
            <w:pPr>
              <w:spacing w:after="0" w:line="232" w:lineRule="exact"/>
              <w:rPr>
                <w:sz w:val="20"/>
                <w:szCs w:val="20"/>
                <w:color w:val="auto"/>
              </w:rPr>
            </w:pPr>
            <w:r>
              <w:rPr>
                <w:rFonts w:ascii="Times New Roman" w:cs="Times New Roman" w:eastAsia="Times New Roman" w:hAnsi="Times New Roman"/>
                <w:sz w:val="22"/>
                <w:szCs w:val="22"/>
                <w:b w:val="1"/>
                <w:bCs w:val="1"/>
                <w:color w:val="auto"/>
              </w:rPr>
              <w:t>Seller Indebtedness</w:t>
            </w:r>
          </w:p>
        </w:tc>
        <w:tc>
          <w:tcPr>
            <w:tcW w:w="340" w:type="dxa"/>
            <w:vAlign w:val="bottom"/>
            <w:tcBorders>
              <w:top w:val="single" w:sz="8" w:color="FF0000"/>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80" w:type="dxa"/>
            <w:vAlign w:val="bottom"/>
            <w:vMerge w:val="continue"/>
          </w:tcPr>
          <w:p>
            <w:pPr>
              <w:spacing w:after="0"/>
              <w:rPr>
                <w:sz w:val="16"/>
                <w:szCs w:val="16"/>
                <w:color w:val="auto"/>
              </w:rPr>
            </w:pPr>
          </w:p>
        </w:tc>
        <w:tc>
          <w:tcPr>
            <w:tcW w:w="2000" w:type="dxa"/>
            <w:vAlign w:val="bottom"/>
            <w:gridSpan w:val="9"/>
            <w:vMerge w:val="continue"/>
          </w:tcPr>
          <w:p>
            <w:pPr>
              <w:spacing w:after="0"/>
              <w:rPr>
                <w:sz w:val="16"/>
                <w:szCs w:val="16"/>
                <w:color w:val="auto"/>
              </w:rPr>
            </w:pPr>
          </w:p>
        </w:tc>
        <w:tc>
          <w:tcPr>
            <w:tcW w:w="4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22"/>
                <w:szCs w:val="22"/>
                <w:color w:val="auto"/>
              </w:rPr>
              <w:t>107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7.15</w:t>
            </w:r>
          </w:p>
        </w:tc>
        <w:tc>
          <w:tcPr>
            <w:tcW w:w="3780" w:type="dxa"/>
            <w:vAlign w:val="bottom"/>
            <w:gridSpan w:val="21"/>
          </w:tcPr>
          <w:p>
            <w:pPr>
              <w:spacing w:after="0"/>
              <w:rPr>
                <w:sz w:val="20"/>
                <w:szCs w:val="20"/>
                <w:color w:val="auto"/>
              </w:rPr>
            </w:pPr>
            <w:r>
              <w:rPr>
                <w:rFonts w:ascii="Times New Roman" w:cs="Times New Roman" w:eastAsia="Times New Roman" w:hAnsi="Times New Roman"/>
                <w:sz w:val="22"/>
                <w:szCs w:val="22"/>
                <w:b w:val="1"/>
                <w:bCs w:val="1"/>
                <w:color w:val="auto"/>
              </w:rPr>
              <w:t>Sanctions and Anti-Corruption Laws</w:t>
            </w: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107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VIII. EVENTS OF DEFAULT AND REMEDIES</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8.01</w:t>
            </w:r>
          </w:p>
        </w:tc>
        <w:tc>
          <w:tcPr>
            <w:tcW w:w="1740" w:type="dxa"/>
            <w:vAlign w:val="bottom"/>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Events of Default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0"/>
              </w:rPr>
              <w:t>107</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108</w:t>
            </w:r>
          </w:p>
        </w:tc>
        <w:tc>
          <w:tcPr>
            <w:tcW w:w="900" w:type="dxa"/>
            <w:vAlign w:val="bottom"/>
            <w:vMerge w:val="restart"/>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20" w:type="dxa"/>
            <w:vAlign w:val="bottom"/>
            <w:vMerge w:val="continue"/>
          </w:tcPr>
          <w:p>
            <w:pPr>
              <w:spacing w:after="0"/>
              <w:rPr>
                <w:sz w:val="17"/>
                <w:szCs w:val="17"/>
                <w:color w:val="auto"/>
              </w:rPr>
            </w:pPr>
          </w:p>
        </w:tc>
        <w:tc>
          <w:tcPr>
            <w:tcW w:w="174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320" w:type="dxa"/>
            <w:vAlign w:val="bottom"/>
            <w:tcBorders>
              <w:bottom w:val="single" w:sz="8" w:color="0000FF"/>
            </w:tcBorders>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8.02</w:t>
            </w:r>
          </w:p>
        </w:tc>
        <w:tc>
          <w:tcPr>
            <w:tcW w:w="2060" w:type="dxa"/>
            <w:vAlign w:val="bottom"/>
            <w:gridSpan w:val="2"/>
            <w:vMerge w:val="restart"/>
          </w:tcPr>
          <w:p>
            <w:pPr>
              <w:ind w:left="60"/>
              <w:spacing w:after="0" w:line="223" w:lineRule="exact"/>
              <w:rPr>
                <w:sz w:val="20"/>
                <w:szCs w:val="20"/>
                <w:color w:val="auto"/>
              </w:rPr>
            </w:pPr>
            <w:r>
              <w:rPr>
                <w:rFonts w:ascii="Times New Roman" w:cs="Times New Roman" w:eastAsia="Times New Roman" w:hAnsi="Times New Roman"/>
                <w:sz w:val="22"/>
                <w:szCs w:val="22"/>
                <w:b w:val="1"/>
                <w:bCs w:val="1"/>
                <w:color w:val="auto"/>
                <w:w w:val="95"/>
              </w:rPr>
              <w:t>Remedies Upon Event</w:t>
            </w:r>
          </w:p>
        </w:tc>
        <w:tc>
          <w:tcPr>
            <w:tcW w:w="320" w:type="dxa"/>
            <w:vAlign w:val="bottom"/>
            <w:tcBorders>
              <w:bottom w:val="single" w:sz="8" w:color="0000FF"/>
            </w:tcBorders>
          </w:tcPr>
          <w:p>
            <w:pPr>
              <w:spacing w:after="0" w:line="20" w:lineRule="exact"/>
              <w:rPr>
                <w:sz w:val="1"/>
                <w:szCs w:val="1"/>
                <w:color w:val="auto"/>
              </w:rPr>
            </w:pPr>
          </w:p>
        </w:tc>
        <w:tc>
          <w:tcPr>
            <w:tcW w:w="900" w:type="dxa"/>
            <w:vAlign w:val="bottom"/>
            <w:vMerge w:val="restart"/>
          </w:tcPr>
          <w:p>
            <w:pPr>
              <w:spacing w:after="0" w:line="223" w:lineRule="exact"/>
              <w:rPr>
                <w:sz w:val="20"/>
                <w:szCs w:val="20"/>
                <w:color w:val="auto"/>
              </w:rPr>
            </w:pPr>
            <w:r>
              <w:rPr>
                <w:rFonts w:ascii="Times New Roman" w:cs="Times New Roman" w:eastAsia="Times New Roman" w:hAnsi="Times New Roman"/>
                <w:sz w:val="22"/>
                <w:szCs w:val="22"/>
                <w:b w:val="1"/>
                <w:bCs w:val="1"/>
                <w:color w:val="auto"/>
              </w:rPr>
              <w:t>Default</w:t>
            </w:r>
          </w:p>
        </w:tc>
        <w:tc>
          <w:tcPr>
            <w:tcW w:w="5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rPr>
              <w:t>109</w:t>
            </w:r>
          </w:p>
        </w:tc>
        <w:tc>
          <w:tcPr>
            <w:tcW w:w="34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6"/>
              </w:rPr>
              <w:t>110</w:t>
            </w:r>
          </w:p>
        </w:tc>
        <w:tc>
          <w:tcPr>
            <w:tcW w:w="0" w:type="dxa"/>
            <w:vAlign w:val="bottom"/>
          </w:tcPr>
          <w:p>
            <w:pPr>
              <w:spacing w:after="0"/>
              <w:rPr>
                <w:sz w:val="1"/>
                <w:szCs w:val="1"/>
                <w:color w:val="auto"/>
              </w:rPr>
            </w:pPr>
          </w:p>
        </w:tc>
      </w:tr>
      <w:tr>
        <w:trPr>
          <w:trHeight w:val="188"/>
        </w:trPr>
        <w:tc>
          <w:tcPr>
            <w:tcW w:w="420" w:type="dxa"/>
            <w:vAlign w:val="bottom"/>
            <w:vMerge w:val="continue"/>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20" w:type="dxa"/>
            <w:vAlign w:val="bottom"/>
          </w:tcPr>
          <w:p>
            <w:pPr>
              <w:jc w:val="center"/>
              <w:spacing w:after="0" w:line="183" w:lineRule="exact"/>
              <w:rPr>
                <w:sz w:val="20"/>
                <w:szCs w:val="20"/>
                <w:color w:val="auto"/>
              </w:rPr>
            </w:pPr>
            <w:r>
              <w:rPr>
                <w:rFonts w:ascii="Times New Roman" w:cs="Times New Roman" w:eastAsia="Times New Roman" w:hAnsi="Times New Roman"/>
                <w:sz w:val="21"/>
                <w:szCs w:val="21"/>
                <w:b w:val="1"/>
                <w:bCs w:val="1"/>
                <w:color w:val="auto"/>
              </w:rPr>
              <w:t>of</w:t>
            </w:r>
          </w:p>
        </w:tc>
        <w:tc>
          <w:tcPr>
            <w:tcW w:w="9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Borders>
              <w:bottom w:val="single" w:sz="8" w:color="0000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8.03</w:t>
            </w:r>
          </w:p>
        </w:tc>
        <w:tc>
          <w:tcPr>
            <w:tcW w:w="3280" w:type="dxa"/>
            <w:vAlign w:val="bottom"/>
            <w:gridSpan w:val="4"/>
            <w:vMerge w:val="restart"/>
          </w:tcPr>
          <w:p>
            <w:pPr>
              <w:ind w:left="60"/>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Application of Funds  </w:t>
            </w:r>
            <w:r>
              <w:rPr>
                <w:rFonts w:ascii="Times New Roman" w:cs="Times New Roman" w:eastAsia="Times New Roman" w:hAnsi="Times New Roman"/>
                <w:sz w:val="22"/>
                <w:szCs w:val="22"/>
                <w:color w:val="auto"/>
              </w:rPr>
              <w:t>110</w:t>
            </w:r>
          </w:p>
        </w:tc>
        <w:tc>
          <w:tcPr>
            <w:tcW w:w="50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20" w:type="dxa"/>
            <w:vAlign w:val="bottom"/>
            <w:vMerge w:val="continue"/>
          </w:tcPr>
          <w:p>
            <w:pPr>
              <w:spacing w:after="0"/>
              <w:rPr>
                <w:sz w:val="16"/>
                <w:szCs w:val="16"/>
                <w:color w:val="auto"/>
              </w:rPr>
            </w:pPr>
          </w:p>
        </w:tc>
        <w:tc>
          <w:tcPr>
            <w:tcW w:w="3280" w:type="dxa"/>
            <w:vAlign w:val="bottom"/>
            <w:gridSpan w:val="4"/>
            <w:vMerge w:val="continue"/>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6"/>
        </w:trPr>
        <w:tc>
          <w:tcPr>
            <w:tcW w:w="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8.04</w:t>
            </w:r>
          </w:p>
        </w:tc>
        <w:tc>
          <w:tcPr>
            <w:tcW w:w="3280" w:type="dxa"/>
            <w:vAlign w:val="bottom"/>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Collateral Allocation Mechanism</w:t>
            </w:r>
          </w:p>
        </w:tc>
        <w:tc>
          <w:tcPr>
            <w:tcW w:w="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ARTICLE IX. ADMINISTRATIVE AGENT</w:t>
      </w:r>
    </w:p>
    <w:p>
      <w:pPr>
        <w:spacing w:after="0" w:line="214" w:lineRule="exact"/>
        <w:rPr>
          <w:sz w:val="20"/>
          <w:szCs w:val="20"/>
          <w:color w:val="auto"/>
        </w:rPr>
      </w:pPr>
    </w:p>
    <w:tbl>
      <w:tblPr>
        <w:tblLayout w:type="fixed"/>
        <w:tblInd w:w="760" w:type="dxa"/>
        <w:tblCellMar>
          <w:top w:w="0" w:type="dxa"/>
          <w:left w:w="0" w:type="dxa"/>
          <w:bottom w:w="0" w:type="dxa"/>
          <w:right w:w="0" w:type="dxa"/>
        </w:tblCellMar>
      </w:tblPr>
      <w:tr>
        <w:trPr>
          <w:trHeight w:val="47"/>
        </w:trPr>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b w:val="1"/>
                <w:bCs w:val="1"/>
                <w:color w:val="auto"/>
                <w:w w:val="93"/>
              </w:rPr>
              <w:t>9.01</w:t>
            </w:r>
          </w:p>
        </w:tc>
        <w:tc>
          <w:tcPr>
            <w:tcW w:w="2940" w:type="dxa"/>
            <w:vAlign w:val="bottom"/>
            <w:gridSpan w:val="3"/>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rPr>
              <w:t>Appointment and Authority</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rPr>
              <w:t>111</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0000FF"/>
                <w:w w:val="90"/>
              </w:rPr>
              <w:t>112</w:t>
            </w:r>
          </w:p>
        </w:tc>
        <w:tc>
          <w:tcPr>
            <w:tcW w:w="100" w:type="dxa"/>
            <w:vAlign w:val="bottom"/>
            <w:vMerge w:val="restart"/>
          </w:tcPr>
          <w:p>
            <w:pPr>
              <w:spacing w:after="0"/>
              <w:rPr>
                <w:sz w:val="4"/>
                <w:szCs w:val="4"/>
                <w:color w:val="auto"/>
              </w:rPr>
            </w:pPr>
          </w:p>
        </w:tc>
        <w:tc>
          <w:tcPr>
            <w:tcW w:w="20" w:type="dxa"/>
            <w:vAlign w:val="bottom"/>
            <w:vMerge w:val="restart"/>
          </w:tcPr>
          <w:p>
            <w:pPr>
              <w:spacing w:after="0"/>
              <w:rPr>
                <w:sz w:val="4"/>
                <w:szCs w:val="4"/>
                <w:color w:val="auto"/>
              </w:rPr>
            </w:pPr>
          </w:p>
        </w:tc>
        <w:tc>
          <w:tcPr>
            <w:tcW w:w="320" w:type="dxa"/>
            <w:vAlign w:val="bottom"/>
            <w:vMerge w:val="restart"/>
          </w:tcPr>
          <w:p>
            <w:pPr>
              <w:spacing w:after="0"/>
              <w:rPr>
                <w:sz w:val="4"/>
                <w:szCs w:val="4"/>
                <w:color w:val="auto"/>
              </w:rPr>
            </w:pPr>
          </w:p>
        </w:tc>
        <w:tc>
          <w:tcPr>
            <w:tcW w:w="42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400" w:type="dxa"/>
            <w:vAlign w:val="bottom"/>
            <w:vMerge w:val="continue"/>
          </w:tcPr>
          <w:p>
            <w:pPr>
              <w:spacing w:after="0"/>
              <w:rPr>
                <w:sz w:val="17"/>
                <w:szCs w:val="17"/>
                <w:color w:val="auto"/>
              </w:rPr>
            </w:pPr>
          </w:p>
        </w:tc>
        <w:tc>
          <w:tcPr>
            <w:tcW w:w="2940" w:type="dxa"/>
            <w:vAlign w:val="bottom"/>
            <w:gridSpan w:val="3"/>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320" w:type="dxa"/>
            <w:vAlign w:val="bottom"/>
            <w:tcBorders>
              <w:bottom w:val="single" w:sz="8" w:color="0000FF"/>
            </w:tcBorders>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9.02</w:t>
            </w:r>
          </w:p>
        </w:tc>
        <w:tc>
          <w:tcPr>
            <w:tcW w:w="2100" w:type="dxa"/>
            <w:vAlign w:val="bottom"/>
            <w:vMerge w:val="restart"/>
          </w:tcPr>
          <w:p>
            <w:pPr>
              <w:ind w:left="80"/>
              <w:spacing w:after="0" w:line="232" w:lineRule="exact"/>
              <w:rPr>
                <w:sz w:val="20"/>
                <w:szCs w:val="20"/>
                <w:color w:val="auto"/>
              </w:rPr>
            </w:pPr>
            <w:r>
              <w:rPr>
                <w:rFonts w:ascii="Times New Roman" w:cs="Times New Roman" w:eastAsia="Times New Roman" w:hAnsi="Times New Roman"/>
                <w:sz w:val="22"/>
                <w:szCs w:val="22"/>
                <w:b w:val="1"/>
                <w:bCs w:val="1"/>
                <w:color w:val="auto"/>
              </w:rPr>
              <w:t>Rights as a Lender</w:t>
            </w:r>
          </w:p>
        </w:tc>
        <w:tc>
          <w:tcPr>
            <w:tcW w:w="46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112</w:t>
            </w: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9.03</w:t>
            </w:r>
          </w:p>
        </w:tc>
        <w:tc>
          <w:tcPr>
            <w:tcW w:w="2560" w:type="dxa"/>
            <w:vAlign w:val="bottom"/>
            <w:gridSpan w:val="2"/>
          </w:tcPr>
          <w:p>
            <w:pPr>
              <w:ind w:left="80"/>
              <w:spacing w:after="0" w:line="233" w:lineRule="exact"/>
              <w:rPr>
                <w:sz w:val="20"/>
                <w:szCs w:val="20"/>
                <w:color w:val="auto"/>
              </w:rPr>
            </w:pPr>
            <w:r>
              <w:rPr>
                <w:rFonts w:ascii="Times New Roman" w:cs="Times New Roman" w:eastAsia="Times New Roman" w:hAnsi="Times New Roman"/>
                <w:sz w:val="22"/>
                <w:szCs w:val="22"/>
                <w:b w:val="1"/>
                <w:bCs w:val="1"/>
                <w:color w:val="auto"/>
              </w:rPr>
              <w:t>Exculpatory Provisions</w:t>
            </w:r>
          </w:p>
        </w:tc>
        <w:tc>
          <w:tcPr>
            <w:tcW w:w="38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112</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9.04</w:t>
            </w:r>
          </w:p>
        </w:tc>
        <w:tc>
          <w:tcPr>
            <w:tcW w:w="2940" w:type="dxa"/>
            <w:vAlign w:val="bottom"/>
            <w:gridSpan w:val="3"/>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20" w:type="dxa"/>
            <w:vAlign w:val="bottom"/>
            <w:gridSpan w:val="2"/>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FF0000"/>
                <w:strike w:val="1"/>
                <w:w w:val="90"/>
              </w:rPr>
              <w:t>113</w:t>
            </w:r>
          </w:p>
        </w:tc>
        <w:tc>
          <w:tcPr>
            <w:tcW w:w="20" w:type="dxa"/>
            <w:vAlign w:val="bottom"/>
            <w:vMerge w:val="restart"/>
          </w:tcPr>
          <w:p>
            <w:pPr>
              <w:spacing w:after="0" w:line="20" w:lineRule="exact"/>
              <w:rPr>
                <w:sz w:val="1"/>
                <w:szCs w:val="1"/>
                <w:color w:val="auto"/>
              </w:rPr>
            </w:pPr>
          </w:p>
        </w:tc>
        <w:tc>
          <w:tcPr>
            <w:tcW w:w="32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color w:val="0000FF"/>
                <w:w w:val="90"/>
              </w:rPr>
              <w:t>114</w:t>
            </w:r>
          </w:p>
        </w:tc>
        <w:tc>
          <w:tcPr>
            <w:tcW w:w="420" w:type="dxa"/>
            <w:vAlign w:val="bottom"/>
            <w:vMerge w:val="restart"/>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400" w:type="dxa"/>
            <w:vAlign w:val="bottom"/>
            <w:vMerge w:val="continue"/>
          </w:tcPr>
          <w:p>
            <w:pPr>
              <w:spacing w:after="0"/>
              <w:rPr>
                <w:sz w:val="15"/>
                <w:szCs w:val="15"/>
                <w:color w:val="auto"/>
              </w:rPr>
            </w:pPr>
          </w:p>
        </w:tc>
        <w:tc>
          <w:tcPr>
            <w:tcW w:w="3260" w:type="dxa"/>
            <w:vAlign w:val="bottom"/>
            <w:gridSpan w:val="4"/>
          </w:tcPr>
          <w:p>
            <w:pPr>
              <w:ind w:left="80"/>
              <w:spacing w:after="0" w:line="183" w:lineRule="exact"/>
              <w:rPr>
                <w:sz w:val="20"/>
                <w:szCs w:val="20"/>
                <w:color w:val="auto"/>
              </w:rPr>
            </w:pPr>
            <w:r>
              <w:rPr>
                <w:rFonts w:ascii="Times New Roman" w:cs="Times New Roman" w:eastAsia="Times New Roman" w:hAnsi="Times New Roman"/>
                <w:sz w:val="21"/>
                <w:szCs w:val="21"/>
                <w:b w:val="1"/>
                <w:bCs w:val="1"/>
                <w:color w:val="auto"/>
              </w:rPr>
              <w:t>Reliance by Administrative Agent</w:t>
            </w: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0" w:type="dxa"/>
            <w:vAlign w:val="bottom"/>
            <w:tcBorders>
              <w:bottom w:val="single" w:sz="8" w:color="0000FF"/>
            </w:tcBorders>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9.05</w:t>
            </w:r>
          </w:p>
        </w:tc>
        <w:tc>
          <w:tcPr>
            <w:tcW w:w="2100" w:type="dxa"/>
            <w:vAlign w:val="bottom"/>
            <w:vMerge w:val="restart"/>
          </w:tcPr>
          <w:p>
            <w:pPr>
              <w:ind w:left="80"/>
              <w:spacing w:after="0" w:line="232" w:lineRule="exact"/>
              <w:rPr>
                <w:sz w:val="20"/>
                <w:szCs w:val="20"/>
                <w:color w:val="auto"/>
              </w:rPr>
            </w:pPr>
            <w:r>
              <w:rPr>
                <w:rFonts w:ascii="Times New Roman" w:cs="Times New Roman" w:eastAsia="Times New Roman" w:hAnsi="Times New Roman"/>
                <w:sz w:val="22"/>
                <w:szCs w:val="22"/>
                <w:b w:val="1"/>
                <w:bCs w:val="1"/>
                <w:color w:val="auto"/>
              </w:rPr>
              <w:t>Delegation of Duties</w:t>
            </w:r>
          </w:p>
        </w:tc>
        <w:tc>
          <w:tcPr>
            <w:tcW w:w="46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114</w:t>
            </w: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9.06</w:t>
            </w:r>
          </w:p>
        </w:tc>
        <w:tc>
          <w:tcPr>
            <w:tcW w:w="4560" w:type="dxa"/>
            <w:vAlign w:val="bottom"/>
            <w:gridSpan w:val="11"/>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Resignation of Administrative Agent </w:t>
            </w:r>
            <w:r>
              <w:rPr>
                <w:rFonts w:ascii="Times New Roman" w:cs="Times New Roman" w:eastAsia="Times New Roman" w:hAnsi="Times New Roman"/>
                <w:sz w:val="22"/>
                <w:szCs w:val="22"/>
                <w:color w:val="auto"/>
              </w:rPr>
              <w:t>114</w:t>
            </w: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9.07</w:t>
            </w:r>
          </w:p>
        </w:tc>
        <w:tc>
          <w:tcPr>
            <w:tcW w:w="6400" w:type="dxa"/>
            <w:vAlign w:val="bottom"/>
            <w:gridSpan w:val="14"/>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Non-Reliance on Administrative Agent, the Arranger, the</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560" w:type="dxa"/>
            <w:vAlign w:val="bottom"/>
            <w:gridSpan w:val="11"/>
          </w:tcPr>
          <w:p>
            <w:pPr>
              <w:ind w:left="20"/>
              <w:spacing w:after="0" w:line="233" w:lineRule="exact"/>
              <w:rPr>
                <w:sz w:val="20"/>
                <w:szCs w:val="20"/>
                <w:color w:val="auto"/>
              </w:rPr>
            </w:pPr>
            <w:r>
              <w:rPr>
                <w:rFonts w:ascii="Times New Roman" w:cs="Times New Roman" w:eastAsia="Times New Roman" w:hAnsi="Times New Roman"/>
                <w:sz w:val="22"/>
                <w:szCs w:val="22"/>
                <w:b w:val="1"/>
                <w:bCs w:val="1"/>
                <w:color w:val="auto"/>
              </w:rPr>
              <w:t>Sustainability Coordinator and Other Lenders</w:t>
            </w:r>
          </w:p>
        </w:tc>
        <w:tc>
          <w:tcPr>
            <w:tcW w:w="5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rPr>
              <w:t>115</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116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9.08</w:t>
            </w:r>
          </w:p>
        </w:tc>
        <w:tc>
          <w:tcPr>
            <w:tcW w:w="2100" w:type="dxa"/>
            <w:vAlign w:val="bottom"/>
            <w:vMerge w:val="restart"/>
          </w:tcPr>
          <w:p>
            <w:pPr>
              <w:ind w:left="80"/>
              <w:spacing w:after="0" w:line="232" w:lineRule="exact"/>
              <w:rPr>
                <w:sz w:val="20"/>
                <w:szCs w:val="20"/>
                <w:color w:val="auto"/>
              </w:rPr>
            </w:pPr>
            <w:r>
              <w:rPr>
                <w:rFonts w:ascii="Times New Roman" w:cs="Times New Roman" w:eastAsia="Times New Roman" w:hAnsi="Times New Roman"/>
                <w:sz w:val="22"/>
                <w:szCs w:val="22"/>
                <w:b w:val="1"/>
                <w:bCs w:val="1"/>
                <w:color w:val="auto"/>
              </w:rPr>
              <w:t>No Other Duties, Etc</w:t>
            </w:r>
          </w:p>
        </w:tc>
        <w:tc>
          <w:tcPr>
            <w:tcW w:w="46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116</w:t>
            </w: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3"/>
              </w:rPr>
              <w:t>9.09</w:t>
            </w:r>
          </w:p>
        </w:tc>
        <w:tc>
          <w:tcPr>
            <w:tcW w:w="6400" w:type="dxa"/>
            <w:vAlign w:val="bottom"/>
            <w:gridSpan w:val="14"/>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 xml:space="preserve">Administrative Agent May File Proofs of Claim; Credit Bidding </w:t>
            </w:r>
            <w:r>
              <w:rPr>
                <w:rFonts w:ascii="Times New Roman" w:cs="Times New Roman" w:eastAsia="Times New Roman" w:hAnsi="Times New Roman"/>
                <w:sz w:val="22"/>
                <w:szCs w:val="22"/>
                <w:color w:val="auto"/>
                <w:w w:val="98"/>
              </w:rPr>
              <w:t>116</w:t>
            </w:r>
          </w:p>
        </w:tc>
        <w:tc>
          <w:tcPr>
            <w:tcW w:w="0" w:type="dxa"/>
            <w:vAlign w:val="bottom"/>
          </w:tcPr>
          <w:p>
            <w:pPr>
              <w:spacing w:after="0"/>
              <w:rPr>
                <w:sz w:val="1"/>
                <w:szCs w:val="1"/>
                <w:color w:val="auto"/>
              </w:rPr>
            </w:pPr>
          </w:p>
        </w:tc>
      </w:tr>
      <w:tr>
        <w:trPr>
          <w:trHeight w:val="234"/>
        </w:trPr>
        <w:tc>
          <w:tcPr>
            <w:tcW w:w="40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9.10</w:t>
            </w:r>
          </w:p>
        </w:tc>
        <w:tc>
          <w:tcPr>
            <w:tcW w:w="3380" w:type="dxa"/>
            <w:vAlign w:val="bottom"/>
            <w:gridSpan w:val="5"/>
          </w:tcPr>
          <w:p>
            <w:pPr>
              <w:ind w:left="80"/>
              <w:spacing w:after="0" w:line="233" w:lineRule="exact"/>
              <w:rPr>
                <w:sz w:val="20"/>
                <w:szCs w:val="20"/>
                <w:color w:val="auto"/>
              </w:rPr>
            </w:pPr>
            <w:r>
              <w:rPr>
                <w:rFonts w:ascii="Times New Roman" w:cs="Times New Roman" w:eastAsia="Times New Roman" w:hAnsi="Times New Roman"/>
                <w:sz w:val="22"/>
                <w:szCs w:val="22"/>
                <w:b w:val="1"/>
                <w:bCs w:val="1"/>
                <w:color w:val="auto"/>
              </w:rPr>
              <w:t>Collateral and Guaranty Matters</w:t>
            </w:r>
          </w:p>
        </w:tc>
        <w:tc>
          <w:tcPr>
            <w:tcW w:w="100" w:type="dxa"/>
            <w:vAlign w:val="bottom"/>
          </w:tcPr>
          <w:p>
            <w:pPr>
              <w:spacing w:after="0"/>
              <w:rPr>
                <w:sz w:val="20"/>
                <w:szCs w:val="20"/>
                <w:color w:val="auto"/>
              </w:rPr>
            </w:pPr>
          </w:p>
        </w:tc>
        <w:tc>
          <w:tcPr>
            <w:tcW w:w="3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117</w:t>
            </w:r>
          </w:p>
        </w:tc>
        <w:tc>
          <w:tcPr>
            <w:tcW w:w="20" w:type="dxa"/>
            <w:vAlign w:val="bottom"/>
          </w:tcPr>
          <w:p>
            <w:pPr>
              <w:spacing w:after="0"/>
              <w:rPr>
                <w:sz w:val="20"/>
                <w:szCs w:val="20"/>
                <w:color w:val="auto"/>
              </w:rPr>
            </w:pP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118</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b w:val="1"/>
                <w:bCs w:val="1"/>
                <w:color w:val="auto"/>
                <w:w w:val="93"/>
              </w:rPr>
              <w:t>9.11</w:t>
            </w:r>
          </w:p>
        </w:tc>
        <w:tc>
          <w:tcPr>
            <w:tcW w:w="2940" w:type="dxa"/>
            <w:vAlign w:val="bottom"/>
            <w:gridSpan w:val="3"/>
            <w:vMerge w:val="restart"/>
          </w:tcPr>
          <w:p>
            <w:pPr>
              <w:ind w:left="80"/>
              <w:spacing w:after="0" w:line="232" w:lineRule="exact"/>
              <w:rPr>
                <w:sz w:val="20"/>
                <w:szCs w:val="20"/>
                <w:color w:val="auto"/>
              </w:rPr>
            </w:pPr>
            <w:r>
              <w:rPr>
                <w:rFonts w:ascii="Times New Roman" w:cs="Times New Roman" w:eastAsia="Times New Roman" w:hAnsi="Times New Roman"/>
                <w:sz w:val="22"/>
                <w:szCs w:val="22"/>
                <w:b w:val="1"/>
                <w:bCs w:val="1"/>
                <w:color w:val="auto"/>
                <w:w w:val="98"/>
              </w:rPr>
              <w:t>Secured Ancillary Agreements</w:t>
            </w:r>
          </w:p>
        </w:tc>
        <w:tc>
          <w:tcPr>
            <w:tcW w:w="440" w:type="dxa"/>
            <w:vAlign w:val="bottom"/>
            <w:gridSpan w:val="2"/>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118</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400" w:type="dxa"/>
            <w:vAlign w:val="bottom"/>
            <w:vMerge w:val="continue"/>
          </w:tcPr>
          <w:p>
            <w:pPr>
              <w:spacing w:after="0"/>
              <w:rPr>
                <w:sz w:val="16"/>
                <w:szCs w:val="16"/>
                <w:color w:val="auto"/>
              </w:rPr>
            </w:pPr>
          </w:p>
        </w:tc>
        <w:tc>
          <w:tcPr>
            <w:tcW w:w="2940" w:type="dxa"/>
            <w:vAlign w:val="bottom"/>
            <w:gridSpan w:val="3"/>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b w:val="1"/>
                <w:bCs w:val="1"/>
                <w:color w:val="auto"/>
                <w:w w:val="93"/>
              </w:rPr>
              <w:t>9.12</w:t>
            </w:r>
          </w:p>
        </w:tc>
        <w:tc>
          <w:tcPr>
            <w:tcW w:w="3380" w:type="dxa"/>
            <w:vAlign w:val="bottom"/>
            <w:gridSpan w:val="5"/>
          </w:tcPr>
          <w:p>
            <w:pPr>
              <w:ind w:left="80"/>
              <w:spacing w:after="0" w:line="233" w:lineRule="exact"/>
              <w:rPr>
                <w:sz w:val="20"/>
                <w:szCs w:val="20"/>
                <w:color w:val="auto"/>
              </w:rPr>
            </w:pPr>
            <w:r>
              <w:rPr>
                <w:rFonts w:ascii="Times New Roman" w:cs="Times New Roman" w:eastAsia="Times New Roman" w:hAnsi="Times New Roman"/>
                <w:sz w:val="22"/>
                <w:szCs w:val="22"/>
                <w:b w:val="1"/>
                <w:bCs w:val="1"/>
                <w:color w:val="auto"/>
                <w:w w:val="99"/>
              </w:rPr>
              <w:t>Lender Representations Regarding</w:t>
            </w:r>
          </w:p>
        </w:tc>
        <w:tc>
          <w:tcPr>
            <w:tcW w:w="100" w:type="dxa"/>
            <w:vAlign w:val="bottom"/>
          </w:tcPr>
          <w:p>
            <w:pPr>
              <w:spacing w:after="0"/>
              <w:rPr>
                <w:sz w:val="20"/>
                <w:szCs w:val="20"/>
                <w:color w:val="auto"/>
              </w:rPr>
            </w:pPr>
          </w:p>
        </w:tc>
        <w:tc>
          <w:tcPr>
            <w:tcW w:w="320" w:type="dxa"/>
            <w:vAlign w:val="bottom"/>
            <w:gridSpan w:val="2"/>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118</w:t>
            </w:r>
          </w:p>
        </w:tc>
        <w:tc>
          <w:tcPr>
            <w:tcW w:w="20" w:type="dxa"/>
            <w:vAlign w:val="bottom"/>
          </w:tcPr>
          <w:p>
            <w:pPr>
              <w:spacing w:after="0"/>
              <w:rPr>
                <w:sz w:val="20"/>
                <w:szCs w:val="20"/>
                <w:color w:val="auto"/>
              </w:rPr>
            </w:pP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119</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0" w:type="dxa"/>
            <w:vAlign w:val="bottom"/>
            <w:vMerge w:val="restart"/>
          </w:tcPr>
          <w:p>
            <w:pPr>
              <w:jc w:val="right"/>
              <w:spacing w:after="0" w:line="223" w:lineRule="exact"/>
              <w:rPr>
                <w:sz w:val="20"/>
                <w:szCs w:val="20"/>
                <w:color w:val="auto"/>
              </w:rPr>
            </w:pPr>
            <w:r>
              <w:rPr>
                <w:rFonts w:ascii="Times New Roman" w:cs="Times New Roman" w:eastAsia="Times New Roman" w:hAnsi="Times New Roman"/>
                <w:sz w:val="22"/>
                <w:szCs w:val="22"/>
                <w:b w:val="1"/>
                <w:bCs w:val="1"/>
                <w:color w:val="auto"/>
                <w:w w:val="93"/>
              </w:rPr>
              <w:t>9.13</w:t>
            </w:r>
          </w:p>
        </w:tc>
        <w:tc>
          <w:tcPr>
            <w:tcW w:w="3380" w:type="dxa"/>
            <w:vAlign w:val="bottom"/>
            <w:gridSpan w:val="5"/>
            <w:vMerge w:val="restart"/>
          </w:tcPr>
          <w:p>
            <w:pPr>
              <w:ind w:left="80"/>
              <w:spacing w:after="0" w:line="223" w:lineRule="exact"/>
              <w:rPr>
                <w:sz w:val="20"/>
                <w:szCs w:val="20"/>
                <w:color w:val="auto"/>
              </w:rPr>
            </w:pPr>
            <w:r>
              <w:rPr>
                <w:rFonts w:ascii="Times New Roman" w:cs="Times New Roman" w:eastAsia="Times New Roman" w:hAnsi="Times New Roman"/>
                <w:sz w:val="22"/>
                <w:szCs w:val="22"/>
                <w:b w:val="1"/>
                <w:bCs w:val="1"/>
                <w:color w:val="auto"/>
              </w:rPr>
              <w:t>Recovery of Erroneous Payments</w:t>
            </w:r>
          </w:p>
        </w:tc>
        <w:tc>
          <w:tcPr>
            <w:tcW w:w="420" w:type="dxa"/>
            <w:vAlign w:val="bottom"/>
            <w:gridSpan w:val="3"/>
            <w:vMerge w:val="restart"/>
          </w:tcPr>
          <w:p>
            <w:pPr>
              <w:spacing w:after="0" w:line="20" w:lineRule="exact"/>
              <w:rPr>
                <w:sz w:val="1"/>
                <w:szCs w:val="1"/>
                <w:color w:val="auto"/>
              </w:rPr>
            </w:pPr>
          </w:p>
        </w:tc>
        <w:tc>
          <w:tcPr>
            <w:tcW w:w="20" w:type="dxa"/>
            <w:vAlign w:val="bottom"/>
            <w:vMerge w:val="restart"/>
          </w:tcPr>
          <w:p>
            <w:pPr>
              <w:jc w:val="right"/>
              <w:ind w:right="15"/>
              <w:spacing w:after="0"/>
              <w:rPr>
                <w:sz w:val="20"/>
                <w:szCs w:val="20"/>
                <w:color w:val="auto"/>
              </w:rPr>
            </w:pPr>
            <w:r>
              <w:rPr>
                <w:rFonts w:ascii="Times New Roman" w:cs="Times New Roman" w:eastAsia="Times New Roman" w:hAnsi="Times New Roman"/>
                <w:sz w:val="1"/>
                <w:szCs w:val="1"/>
                <w:color w:val="FF0000"/>
                <w:strike w:val="1"/>
              </w:rPr>
              <w:t>119</w:t>
            </w:r>
          </w:p>
        </w:tc>
        <w:tc>
          <w:tcPr>
            <w:tcW w:w="3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400" w:type="dxa"/>
            <w:vAlign w:val="bottom"/>
            <w:vMerge w:val="continue"/>
          </w:tcPr>
          <w:p>
            <w:pPr>
              <w:spacing w:after="0"/>
              <w:rPr>
                <w:sz w:val="8"/>
                <w:szCs w:val="8"/>
                <w:color w:val="auto"/>
              </w:rPr>
            </w:pPr>
          </w:p>
        </w:tc>
        <w:tc>
          <w:tcPr>
            <w:tcW w:w="3380" w:type="dxa"/>
            <w:vAlign w:val="bottom"/>
            <w:gridSpan w:val="5"/>
            <w:vMerge w:val="continue"/>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320" w:type="dxa"/>
            <w:vAlign w:val="bottom"/>
            <w:vMerge w:val="restart"/>
          </w:tcPr>
          <w:p>
            <w:pPr>
              <w:jc w:val="right"/>
              <w:spacing w:after="0" w:line="183" w:lineRule="exact"/>
              <w:rPr>
                <w:sz w:val="20"/>
                <w:szCs w:val="20"/>
                <w:color w:val="auto"/>
              </w:rPr>
            </w:pPr>
            <w:r>
              <w:rPr>
                <w:rFonts w:ascii="Times New Roman" w:cs="Times New Roman" w:eastAsia="Times New Roman" w:hAnsi="Times New Roman"/>
                <w:sz w:val="21"/>
                <w:szCs w:val="21"/>
                <w:color w:val="0000FF"/>
                <w:w w:val="95"/>
              </w:rPr>
              <w:t>120</w:t>
            </w: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00" w:type="dxa"/>
            <w:vAlign w:val="bottom"/>
            <w:vMerge w:val="continue"/>
          </w:tcPr>
          <w:p>
            <w:pPr>
              <w:spacing w:after="0"/>
              <w:rPr>
                <w:sz w:val="5"/>
                <w:szCs w:val="5"/>
                <w:color w:val="auto"/>
              </w:rPr>
            </w:pPr>
          </w:p>
        </w:tc>
        <w:tc>
          <w:tcPr>
            <w:tcW w:w="33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top w:val="single" w:sz="8" w:color="FF0000"/>
            </w:tcBorders>
          </w:tcPr>
          <w:p>
            <w:pPr>
              <w:spacing w:after="0"/>
              <w:rPr>
                <w:sz w:val="5"/>
                <w:szCs w:val="5"/>
                <w:color w:val="auto"/>
              </w:rPr>
            </w:pPr>
          </w:p>
        </w:tc>
        <w:tc>
          <w:tcPr>
            <w:tcW w:w="100" w:type="dxa"/>
            <w:vAlign w:val="bottom"/>
            <w:tcBorders>
              <w:top w:val="single" w:sz="8" w:color="FF0000"/>
            </w:tcBorders>
          </w:tcPr>
          <w:p>
            <w:pPr>
              <w:spacing w:after="0"/>
              <w:rPr>
                <w:sz w:val="5"/>
                <w:szCs w:val="5"/>
                <w:color w:val="auto"/>
              </w:rPr>
            </w:pPr>
          </w:p>
        </w:tc>
        <w:tc>
          <w:tcPr>
            <w:tcW w:w="20" w:type="dxa"/>
            <w:vAlign w:val="bottom"/>
            <w:tcBorders>
              <w:bottom w:val="single" w:sz="8" w:color="0000FF"/>
            </w:tcBorders>
            <w:vMerge w:val="continue"/>
          </w:tcPr>
          <w:p>
            <w:pPr>
              <w:spacing w:after="0"/>
              <w:rPr>
                <w:sz w:val="5"/>
                <w:szCs w:val="5"/>
                <w:color w:val="auto"/>
              </w:rPr>
            </w:pPr>
          </w:p>
        </w:tc>
        <w:tc>
          <w:tcPr>
            <w:tcW w:w="320" w:type="dxa"/>
            <w:vAlign w:val="bottom"/>
            <w:tcBorders>
              <w:bottom w:val="single" w:sz="8" w:color="0000FF"/>
            </w:tcBorders>
            <w:vMerge w:val="continue"/>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iii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4" w:name="page175"/>
    <w:bookmarkEnd w:id="174"/>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(continued)</w:t>
      </w:r>
    </w:p>
    <w:tbl>
      <w:tblPr>
        <w:tblLayout w:type="fixed"/>
        <w:tblInd w:w="0" w:type="dxa"/>
        <w:tblCellMar>
          <w:top w:w="0" w:type="dxa"/>
          <w:left w:w="0" w:type="dxa"/>
          <w:bottom w:w="0" w:type="dxa"/>
          <w:right w:w="0" w:type="dxa"/>
        </w:tblCellMar>
      </w:tblPr>
      <w:tr>
        <w:trPr>
          <w:trHeight w:val="206"/>
        </w:trPr>
        <w:tc>
          <w:tcPr>
            <w:tcW w:w="14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ind w:left="1200"/>
              <w:spacing w:after="0" w:line="206" w:lineRule="exact"/>
              <w:rPr>
                <w:sz w:val="20"/>
                <w:szCs w:val="20"/>
                <w:color w:val="auto"/>
              </w:rPr>
            </w:pPr>
            <w:r>
              <w:rPr>
                <w:rFonts w:ascii="Times New Roman" w:cs="Times New Roman" w:eastAsia="Times New Roman" w:hAnsi="Times New Roman"/>
                <w:sz w:val="22"/>
                <w:szCs w:val="22"/>
                <w:color w:val="auto"/>
                <w:w w:val="93"/>
              </w:rPr>
              <w:t>Page</w:t>
            </w:r>
          </w:p>
        </w:tc>
        <w:tc>
          <w:tcPr>
            <w:tcW w:w="0" w:type="dxa"/>
            <w:vAlign w:val="bottom"/>
          </w:tcPr>
          <w:p>
            <w:pPr>
              <w:spacing w:after="0"/>
              <w:rPr>
                <w:sz w:val="1"/>
                <w:szCs w:val="1"/>
                <w:color w:val="auto"/>
              </w:rPr>
            </w:pPr>
          </w:p>
        </w:tc>
      </w:tr>
      <w:tr>
        <w:trPr>
          <w:trHeight w:val="762"/>
        </w:trPr>
        <w:tc>
          <w:tcPr>
            <w:tcW w:w="3720" w:type="dxa"/>
            <w:vAlign w:val="bottom"/>
            <w:gridSpan w:val="5"/>
          </w:tcPr>
          <w:p>
            <w:pPr>
              <w:spacing w:after="0"/>
              <w:rPr>
                <w:sz w:val="20"/>
                <w:szCs w:val="20"/>
                <w:color w:val="auto"/>
              </w:rPr>
            </w:pPr>
            <w:r>
              <w:rPr>
                <w:rFonts w:ascii="Times New Roman" w:cs="Times New Roman" w:eastAsia="Times New Roman" w:hAnsi="Times New Roman"/>
                <w:sz w:val="22"/>
                <w:szCs w:val="22"/>
                <w:b w:val="1"/>
                <w:bCs w:val="1"/>
                <w:color w:val="auto"/>
              </w:rPr>
              <w:t>ARTICLE X. MISCELLANEOUS</w:t>
            </w: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148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10.01</w:t>
            </w:r>
          </w:p>
        </w:tc>
        <w:tc>
          <w:tcPr>
            <w:tcW w:w="2240" w:type="dxa"/>
            <w:vAlign w:val="bottom"/>
            <w:gridSpan w:val="4"/>
          </w:tcPr>
          <w:p>
            <w:pPr>
              <w:ind w:left="240"/>
              <w:spacing w:after="0"/>
              <w:rPr>
                <w:sz w:val="20"/>
                <w:szCs w:val="20"/>
                <w:color w:val="auto"/>
              </w:rPr>
            </w:pPr>
            <w:r>
              <w:rPr>
                <w:rFonts w:ascii="Times New Roman" w:cs="Times New Roman" w:eastAsia="Times New Roman" w:hAnsi="Times New Roman"/>
                <w:sz w:val="22"/>
                <w:szCs w:val="22"/>
                <w:b w:val="1"/>
                <w:bCs w:val="1"/>
                <w:color w:val="auto"/>
              </w:rPr>
              <w:t>Amendments, Etc</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10.02</w:t>
            </w:r>
          </w:p>
        </w:tc>
        <w:tc>
          <w:tcPr>
            <w:tcW w:w="4900" w:type="dxa"/>
            <w:vAlign w:val="bottom"/>
            <w:gridSpan w:val="9"/>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w w:val="98"/>
              </w:rPr>
              <w:t>Notices; Effectiveness; Electronic Communication</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121</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10.03</w:t>
            </w:r>
          </w:p>
        </w:tc>
        <w:tc>
          <w:tcPr>
            <w:tcW w:w="4900" w:type="dxa"/>
            <w:vAlign w:val="bottom"/>
            <w:gridSpan w:val="9"/>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No Waiver; Cumulative Remedies; Enforcement</w:t>
            </w:r>
          </w:p>
        </w:tc>
        <w:tc>
          <w:tcPr>
            <w:tcW w:w="32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w w:val="90"/>
              </w:rPr>
              <w:t>123</w:t>
            </w: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4900" w:type="dxa"/>
            <w:vAlign w:val="bottom"/>
            <w:gridSpan w:val="9"/>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10.04</w:t>
            </w:r>
          </w:p>
        </w:tc>
        <w:tc>
          <w:tcPr>
            <w:tcW w:w="4900" w:type="dxa"/>
            <w:vAlign w:val="bottom"/>
            <w:gridSpan w:val="9"/>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Expenses; Indemnity; Damage Waiver  </w:t>
            </w:r>
            <w:r>
              <w:rPr>
                <w:rFonts w:ascii="Times New Roman" w:cs="Times New Roman" w:eastAsia="Times New Roman" w:hAnsi="Times New Roman"/>
                <w:sz w:val="22"/>
                <w:szCs w:val="22"/>
                <w:color w:val="auto"/>
              </w:rPr>
              <w:t>124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10.05</w:t>
            </w:r>
          </w:p>
        </w:tc>
        <w:tc>
          <w:tcPr>
            <w:tcW w:w="2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Payments Set Aside</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126</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10.06</w:t>
            </w:r>
          </w:p>
        </w:tc>
        <w:tc>
          <w:tcPr>
            <w:tcW w:w="2680" w:type="dxa"/>
            <w:vAlign w:val="bottom"/>
            <w:gridSpan w:val="5"/>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Successors and Assigns</w:t>
            </w:r>
          </w:p>
        </w:tc>
        <w:tc>
          <w:tcPr>
            <w:tcW w:w="13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126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10.07</w:t>
            </w:r>
          </w:p>
        </w:tc>
        <w:tc>
          <w:tcPr>
            <w:tcW w:w="5220" w:type="dxa"/>
            <w:vAlign w:val="bottom"/>
            <w:gridSpan w:val="10"/>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rPr>
              <w:t>Treatment of Certain Information; Confidentiality</w:t>
            </w:r>
          </w:p>
        </w:tc>
        <w:tc>
          <w:tcPr>
            <w:tcW w:w="420" w:type="dxa"/>
            <w:vAlign w:val="bottom"/>
            <w:gridSpan w:val="2"/>
          </w:tcPr>
          <w:p>
            <w:pPr>
              <w:ind w:left="100"/>
              <w:spacing w:after="0" w:line="233" w:lineRule="exact"/>
              <w:rPr>
                <w:sz w:val="20"/>
                <w:szCs w:val="20"/>
                <w:color w:val="auto"/>
              </w:rPr>
            </w:pPr>
            <w:r>
              <w:rPr>
                <w:rFonts w:ascii="Times New Roman" w:cs="Times New Roman" w:eastAsia="Times New Roman" w:hAnsi="Times New Roman"/>
                <w:sz w:val="22"/>
                <w:szCs w:val="22"/>
                <w:color w:val="FF0000"/>
                <w:strike w:val="1"/>
                <w:w w:val="90"/>
              </w:rPr>
              <w:t>130</w:t>
            </w:r>
          </w:p>
        </w:tc>
        <w:tc>
          <w:tcPr>
            <w:tcW w:w="34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6"/>
              </w:rPr>
              <w:t>131</w:t>
            </w: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10.08</w:t>
            </w:r>
          </w:p>
        </w:tc>
        <w:tc>
          <w:tcPr>
            <w:tcW w:w="2240" w:type="dxa"/>
            <w:vAlign w:val="bottom"/>
            <w:gridSpan w:val="4"/>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Right of Setoff   </w:t>
            </w:r>
            <w:r>
              <w:rPr>
                <w:rFonts w:ascii="Times New Roman" w:cs="Times New Roman" w:eastAsia="Times New Roman" w:hAnsi="Times New Roman"/>
                <w:sz w:val="22"/>
                <w:szCs w:val="22"/>
                <w:color w:val="auto"/>
              </w:rPr>
              <w:t>131</w:t>
            </w: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10.09</w:t>
            </w:r>
          </w:p>
        </w:tc>
        <w:tc>
          <w:tcPr>
            <w:tcW w:w="2680" w:type="dxa"/>
            <w:vAlign w:val="bottom"/>
            <w:gridSpan w:val="5"/>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Interest Rate Limitation</w:t>
            </w:r>
          </w:p>
        </w:tc>
        <w:tc>
          <w:tcPr>
            <w:tcW w:w="13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10.10</w:t>
            </w:r>
          </w:p>
        </w:tc>
        <w:tc>
          <w:tcPr>
            <w:tcW w:w="2680" w:type="dxa"/>
            <w:vAlign w:val="bottom"/>
            <w:gridSpan w:val="5"/>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Integration; Effectiveness</w:t>
            </w:r>
          </w:p>
        </w:tc>
        <w:tc>
          <w:tcPr>
            <w:tcW w:w="1340" w:type="dxa"/>
            <w:vAlign w:val="bottom"/>
          </w:tcPr>
          <w:p>
            <w:pPr>
              <w:jc w:val="right"/>
              <w:ind w:right="852"/>
              <w:spacing w:after="0" w:line="243" w:lineRule="exact"/>
              <w:rPr>
                <w:sz w:val="20"/>
                <w:szCs w:val="20"/>
                <w:color w:val="auto"/>
              </w:rPr>
            </w:pPr>
            <w:r>
              <w:rPr>
                <w:rFonts w:ascii="Times New Roman" w:cs="Times New Roman" w:eastAsia="Times New Roman" w:hAnsi="Times New Roman"/>
                <w:sz w:val="22"/>
                <w:szCs w:val="22"/>
                <w:color w:val="auto"/>
              </w:rPr>
              <w:t>132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10.11</w:t>
            </w:r>
          </w:p>
        </w:tc>
        <w:tc>
          <w:tcPr>
            <w:tcW w:w="4900" w:type="dxa"/>
            <w:vAlign w:val="bottom"/>
            <w:gridSpan w:val="9"/>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Survival of Representations and Warranties  </w:t>
            </w:r>
            <w:r>
              <w:rPr>
                <w:rFonts w:ascii="Times New Roman" w:cs="Times New Roman" w:eastAsia="Times New Roman" w:hAnsi="Times New Roman"/>
                <w:sz w:val="22"/>
                <w:szCs w:val="22"/>
                <w:color w:val="auto"/>
              </w:rPr>
              <w:t>132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10.12</w:t>
            </w:r>
          </w:p>
        </w:tc>
        <w:tc>
          <w:tcPr>
            <w:tcW w:w="1440" w:type="dxa"/>
            <w:vAlign w:val="bottom"/>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rPr>
              <w:t>Severability</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132</w:t>
            </w:r>
          </w:p>
        </w:tc>
        <w:tc>
          <w:tcPr>
            <w:tcW w:w="320" w:type="dxa"/>
            <w:vAlign w:val="bottom"/>
            <w:tcBorders>
              <w:bottom w:val="single" w:sz="8" w:color="0000FF"/>
            </w:tcBorders>
          </w:tcPr>
          <w:p>
            <w:pPr>
              <w:spacing w:after="0" w:line="233" w:lineRule="exact"/>
              <w:rPr>
                <w:sz w:val="20"/>
                <w:szCs w:val="20"/>
                <w:color w:val="auto"/>
              </w:rPr>
            </w:pPr>
            <w:r>
              <w:rPr>
                <w:rFonts w:ascii="Times New Roman" w:cs="Times New Roman" w:eastAsia="Times New Roman" w:hAnsi="Times New Roman"/>
                <w:sz w:val="22"/>
                <w:szCs w:val="22"/>
                <w:color w:val="0000FF"/>
                <w:w w:val="90"/>
              </w:rPr>
              <w:t>133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10.13</w:t>
            </w:r>
          </w:p>
        </w:tc>
        <w:tc>
          <w:tcPr>
            <w:tcW w:w="1760" w:type="dxa"/>
            <w:vAlign w:val="bottom"/>
            <w:gridSpan w:val="2"/>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Replacement of</w:t>
            </w:r>
          </w:p>
        </w:tc>
        <w:tc>
          <w:tcPr>
            <w:tcW w:w="320" w:type="dxa"/>
            <w:vAlign w:val="bottom"/>
            <w:tcBorders>
              <w:bottom w:val="single" w:sz="8" w:color="0000FF"/>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340" w:type="dxa"/>
            <w:vAlign w:val="bottom"/>
            <w:vMerge w:val="restart"/>
          </w:tcPr>
          <w:p>
            <w:pPr>
              <w:jc w:val="right"/>
              <w:ind w:right="852"/>
              <w:spacing w:after="0" w:line="232" w:lineRule="exact"/>
              <w:rPr>
                <w:sz w:val="20"/>
                <w:szCs w:val="20"/>
                <w:color w:val="auto"/>
              </w:rPr>
            </w:pPr>
            <w:r>
              <w:rPr>
                <w:rFonts w:ascii="Times New Roman" w:cs="Times New Roman" w:eastAsia="Times New Roman" w:hAnsi="Times New Roman"/>
                <w:sz w:val="22"/>
                <w:szCs w:val="22"/>
                <w:color w:val="auto"/>
              </w:rPr>
              <w:t>133</w:t>
            </w:r>
          </w:p>
        </w:tc>
        <w:tc>
          <w:tcPr>
            <w:tcW w:w="3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920" w:type="dxa"/>
            <w:vAlign w:val="bottom"/>
            <w:gridSpan w:val="3"/>
          </w:tcPr>
          <w:p>
            <w:pPr>
              <w:spacing w:after="0" w:line="191" w:lineRule="exact"/>
              <w:rPr>
                <w:sz w:val="20"/>
                <w:szCs w:val="20"/>
                <w:color w:val="auto"/>
              </w:rPr>
            </w:pPr>
            <w:r>
              <w:rPr>
                <w:rFonts w:ascii="Times New Roman" w:cs="Times New Roman" w:eastAsia="Times New Roman" w:hAnsi="Times New Roman"/>
                <w:sz w:val="22"/>
                <w:szCs w:val="22"/>
                <w:b w:val="1"/>
                <w:bCs w:val="1"/>
                <w:color w:val="auto"/>
              </w:rPr>
              <w:t>Lenders</w:t>
            </w:r>
          </w:p>
        </w:tc>
        <w:tc>
          <w:tcPr>
            <w:tcW w:w="13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10.14</w:t>
            </w:r>
          </w:p>
        </w:tc>
        <w:tc>
          <w:tcPr>
            <w:tcW w:w="4900" w:type="dxa"/>
            <w:vAlign w:val="bottom"/>
            <w:gridSpan w:val="9"/>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Governing Law; Jurisdiction; Etc  </w:t>
            </w:r>
            <w:r>
              <w:rPr>
                <w:rFonts w:ascii="Times New Roman" w:cs="Times New Roman" w:eastAsia="Times New Roman" w:hAnsi="Times New Roman"/>
                <w:sz w:val="22"/>
                <w:szCs w:val="22"/>
                <w:color w:val="auto"/>
              </w:rPr>
              <w:t>133</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10.15</w:t>
            </w:r>
          </w:p>
        </w:tc>
        <w:tc>
          <w:tcPr>
            <w:tcW w:w="2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Waiver of Jury Trial</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134</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10.16</w:t>
            </w:r>
          </w:p>
        </w:tc>
        <w:tc>
          <w:tcPr>
            <w:tcW w:w="4020" w:type="dxa"/>
            <w:vAlign w:val="bottom"/>
            <w:gridSpan w:val="6"/>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w w:val="98"/>
              </w:rPr>
              <w:t>No Advisory or Fiduciary Responsibility</w:t>
            </w:r>
          </w:p>
        </w:tc>
        <w:tc>
          <w:tcPr>
            <w:tcW w:w="34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6"/>
              </w:rPr>
              <w:t>134</w:t>
            </w:r>
          </w:p>
        </w:tc>
        <w:tc>
          <w:tcPr>
            <w:tcW w:w="320" w:type="dxa"/>
            <w:vAlign w:val="bottom"/>
            <w:tcBorders>
              <w:bottom w:val="single" w:sz="8" w:color="0000FF"/>
            </w:tcBorders>
          </w:tcPr>
          <w:p>
            <w:pPr>
              <w:spacing w:after="0" w:line="233" w:lineRule="exact"/>
              <w:rPr>
                <w:sz w:val="20"/>
                <w:szCs w:val="20"/>
                <w:color w:val="auto"/>
              </w:rPr>
            </w:pPr>
            <w:r>
              <w:rPr>
                <w:rFonts w:ascii="Times New Roman" w:cs="Times New Roman" w:eastAsia="Times New Roman" w:hAnsi="Times New Roman"/>
                <w:sz w:val="22"/>
                <w:szCs w:val="22"/>
                <w:color w:val="0000FF"/>
                <w:w w:val="90"/>
              </w:rPr>
              <w:t>135</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10.17</w:t>
            </w:r>
          </w:p>
        </w:tc>
        <w:tc>
          <w:tcPr>
            <w:tcW w:w="4360" w:type="dxa"/>
            <w:vAlign w:val="bottom"/>
            <w:gridSpan w:val="7"/>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Electronic Execution; Electronic Records;</w:t>
            </w:r>
          </w:p>
        </w:tc>
        <w:tc>
          <w:tcPr>
            <w:tcW w:w="3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4360" w:type="dxa"/>
            <w:vAlign w:val="bottom"/>
            <w:gridSpan w:val="7"/>
            <w:vMerge w:val="continue"/>
          </w:tcPr>
          <w:p>
            <w:pPr>
              <w:spacing w:after="0"/>
              <w:rPr>
                <w:sz w:val="16"/>
                <w:szCs w:val="16"/>
                <w:color w:val="auto"/>
              </w:rPr>
            </w:pPr>
          </w:p>
        </w:tc>
        <w:tc>
          <w:tcPr>
            <w:tcW w:w="5400" w:type="dxa"/>
            <w:vAlign w:val="bottom"/>
            <w:gridSpan w:val="11"/>
          </w:tcPr>
          <w:p>
            <w:pPr>
              <w:spacing w:after="0" w:line="191" w:lineRule="exact"/>
              <w:rPr>
                <w:sz w:val="20"/>
                <w:szCs w:val="20"/>
                <w:color w:val="auto"/>
              </w:rPr>
            </w:pPr>
            <w:r>
              <w:rPr>
                <w:rFonts w:ascii="Times New Roman" w:cs="Times New Roman" w:eastAsia="Times New Roman" w:hAnsi="Times New Roman"/>
                <w:sz w:val="22"/>
                <w:szCs w:val="22"/>
                <w:b w:val="1"/>
                <w:bCs w:val="1"/>
                <w:color w:val="auto"/>
              </w:rPr>
              <w:t xml:space="preserve">Counterparts   </w:t>
            </w:r>
            <w:r>
              <w:rPr>
                <w:rFonts w:ascii="Times New Roman" w:cs="Times New Roman" w:eastAsia="Times New Roman" w:hAnsi="Times New Roman"/>
                <w:sz w:val="22"/>
                <w:szCs w:val="22"/>
                <w:color w:val="auto"/>
              </w:rPr>
              <w:t>135</w:t>
            </w: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10.18</w:t>
            </w:r>
          </w:p>
        </w:tc>
        <w:tc>
          <w:tcPr>
            <w:tcW w:w="2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USA PATRIOT Act</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136</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10.19</w:t>
            </w:r>
          </w:p>
        </w:tc>
        <w:tc>
          <w:tcPr>
            <w:tcW w:w="4900" w:type="dxa"/>
            <w:vAlign w:val="bottom"/>
            <w:gridSpan w:val="9"/>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U.K. KNOW YOUR CUSTOMER CHECKS </w:t>
            </w:r>
            <w:r>
              <w:rPr>
                <w:rFonts w:ascii="Times New Roman" w:cs="Times New Roman" w:eastAsia="Times New Roman" w:hAnsi="Times New Roman"/>
                <w:sz w:val="22"/>
                <w:szCs w:val="22"/>
                <w:color w:val="auto"/>
              </w:rPr>
              <w:t>136</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10.20</w:t>
            </w:r>
          </w:p>
        </w:tc>
        <w:tc>
          <w:tcPr>
            <w:tcW w:w="4900" w:type="dxa"/>
            <w:vAlign w:val="bottom"/>
            <w:gridSpan w:val="9"/>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rPr>
              <w:t>Canadian Anti-Money Laundering Legislation</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136</w:t>
            </w:r>
          </w:p>
        </w:tc>
        <w:tc>
          <w:tcPr>
            <w:tcW w:w="32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0"/>
              </w:rPr>
              <w:t>137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10.21</w:t>
            </w:r>
          </w:p>
        </w:tc>
        <w:tc>
          <w:tcPr>
            <w:tcW w:w="2240" w:type="dxa"/>
            <w:vAlign w:val="bottom"/>
            <w:gridSpan w:val="4"/>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Judgment Currency</w:t>
            </w:r>
          </w:p>
        </w:tc>
        <w:tc>
          <w:tcPr>
            <w:tcW w:w="440" w:type="dxa"/>
            <w:vAlign w:val="bottom"/>
            <w:vMerge w:val="restart"/>
          </w:tcPr>
          <w:p>
            <w:pPr>
              <w:jc w:val="right"/>
              <w:spacing w:after="0" w:line="232" w:lineRule="exact"/>
              <w:rPr>
                <w:sz w:val="20"/>
                <w:szCs w:val="20"/>
                <w:color w:val="auto"/>
              </w:rPr>
            </w:pPr>
            <w:r>
              <w:rPr>
                <w:rFonts w:ascii="Times New Roman" w:cs="Times New Roman" w:eastAsia="Times New Roman" w:hAnsi="Times New Roman"/>
                <w:sz w:val="22"/>
                <w:szCs w:val="22"/>
                <w:color w:val="auto"/>
              </w:rPr>
              <w:t>137</w:t>
            </w: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2240" w:type="dxa"/>
            <w:vAlign w:val="bottom"/>
            <w:gridSpan w:val="4"/>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10.22</w:t>
            </w:r>
          </w:p>
        </w:tc>
        <w:tc>
          <w:tcPr>
            <w:tcW w:w="4900" w:type="dxa"/>
            <w:vAlign w:val="bottom"/>
            <w:gridSpan w:val="9"/>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 xml:space="preserve">Waiver of Sovereign Immunity </w:t>
            </w:r>
            <w:r>
              <w:rPr>
                <w:rFonts w:ascii="Times New Roman" w:cs="Times New Roman" w:eastAsia="Times New Roman" w:hAnsi="Times New Roman"/>
                <w:sz w:val="22"/>
                <w:szCs w:val="22"/>
                <w:color w:val="auto"/>
              </w:rPr>
              <w:t>137</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480" w:type="dxa"/>
            <w:vAlign w:val="bottom"/>
          </w:tcPr>
          <w:p>
            <w:pPr>
              <w:jc w:val="right"/>
              <w:ind w:right="132"/>
              <w:spacing w:after="0" w:line="233" w:lineRule="exact"/>
              <w:rPr>
                <w:sz w:val="20"/>
                <w:szCs w:val="20"/>
                <w:color w:val="auto"/>
              </w:rPr>
            </w:pPr>
            <w:r>
              <w:rPr>
                <w:rFonts w:ascii="Times New Roman" w:cs="Times New Roman" w:eastAsia="Times New Roman" w:hAnsi="Times New Roman"/>
                <w:sz w:val="22"/>
                <w:szCs w:val="22"/>
                <w:b w:val="1"/>
                <w:bCs w:val="1"/>
                <w:color w:val="auto"/>
              </w:rPr>
              <w:t>10.23</w:t>
            </w:r>
          </w:p>
        </w:tc>
        <w:tc>
          <w:tcPr>
            <w:tcW w:w="7480" w:type="dxa"/>
            <w:vAlign w:val="bottom"/>
            <w:gridSpan w:val="14"/>
          </w:tcPr>
          <w:p>
            <w:pPr>
              <w:ind w:left="240"/>
              <w:spacing w:after="0" w:line="233" w:lineRule="exact"/>
              <w:rPr>
                <w:sz w:val="20"/>
                <w:szCs w:val="20"/>
                <w:color w:val="auto"/>
              </w:rPr>
            </w:pPr>
            <w:r>
              <w:rPr>
                <w:rFonts w:ascii="Times New Roman" w:cs="Times New Roman" w:eastAsia="Times New Roman" w:hAnsi="Times New Roman"/>
                <w:sz w:val="22"/>
                <w:szCs w:val="22"/>
                <w:b w:val="1"/>
                <w:bCs w:val="1"/>
                <w:color w:val="auto"/>
              </w:rPr>
              <w:t>Acknowledgement and Consent to Bail-In of Affected Financial Institutions</w:t>
            </w:r>
          </w:p>
        </w:tc>
        <w:tc>
          <w:tcPr>
            <w:tcW w:w="320" w:type="dxa"/>
            <w:vAlign w:val="bottom"/>
          </w:tcPr>
          <w:p>
            <w:pPr>
              <w:jc w:val="right"/>
              <w:spacing w:after="0" w:line="233" w:lineRule="exact"/>
              <w:rPr>
                <w:sz w:val="20"/>
                <w:szCs w:val="20"/>
                <w:color w:val="auto"/>
              </w:rPr>
            </w:pPr>
            <w:r>
              <w:rPr>
                <w:rFonts w:ascii="Times New Roman" w:cs="Times New Roman" w:eastAsia="Times New Roman" w:hAnsi="Times New Roman"/>
                <w:sz w:val="22"/>
                <w:szCs w:val="22"/>
                <w:color w:val="FF0000"/>
                <w:strike w:val="1"/>
                <w:w w:val="90"/>
              </w:rPr>
              <w:t>137</w:t>
            </w:r>
          </w:p>
        </w:tc>
        <w:tc>
          <w:tcPr>
            <w:tcW w:w="340" w:type="dxa"/>
            <w:vAlign w:val="bottom"/>
            <w:tcBorders>
              <w:bottom w:val="single" w:sz="8" w:color="0000FF"/>
            </w:tcBorders>
          </w:tcPr>
          <w:p>
            <w:pPr>
              <w:jc w:val="right"/>
              <w:spacing w:after="0" w:line="233" w:lineRule="exact"/>
              <w:rPr>
                <w:sz w:val="20"/>
                <w:szCs w:val="20"/>
                <w:color w:val="auto"/>
              </w:rPr>
            </w:pPr>
            <w:r>
              <w:rPr>
                <w:rFonts w:ascii="Times New Roman" w:cs="Times New Roman" w:eastAsia="Times New Roman" w:hAnsi="Times New Roman"/>
                <w:sz w:val="22"/>
                <w:szCs w:val="22"/>
                <w:color w:val="0000FF"/>
                <w:w w:val="96"/>
              </w:rPr>
              <w:t>138</w:t>
            </w:r>
          </w:p>
        </w:tc>
        <w:tc>
          <w:tcPr>
            <w:tcW w:w="16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80" w:type="dxa"/>
            <w:vAlign w:val="bottom"/>
            <w:vMerge w:val="restart"/>
          </w:tcPr>
          <w:p>
            <w:pPr>
              <w:jc w:val="right"/>
              <w:ind w:right="132"/>
              <w:spacing w:after="0" w:line="232" w:lineRule="exact"/>
              <w:rPr>
                <w:sz w:val="20"/>
                <w:szCs w:val="20"/>
                <w:color w:val="auto"/>
              </w:rPr>
            </w:pPr>
            <w:r>
              <w:rPr>
                <w:rFonts w:ascii="Times New Roman" w:cs="Times New Roman" w:eastAsia="Times New Roman" w:hAnsi="Times New Roman"/>
                <w:sz w:val="22"/>
                <w:szCs w:val="22"/>
                <w:b w:val="1"/>
                <w:bCs w:val="1"/>
                <w:color w:val="auto"/>
              </w:rPr>
              <w:t>10.24</w:t>
            </w:r>
          </w:p>
        </w:tc>
        <w:tc>
          <w:tcPr>
            <w:tcW w:w="7800" w:type="dxa"/>
            <w:vAlign w:val="bottom"/>
            <w:gridSpan w:val="15"/>
            <w:vMerge w:val="restart"/>
          </w:tcPr>
          <w:p>
            <w:pPr>
              <w:ind w:left="240"/>
              <w:spacing w:after="0" w:line="232" w:lineRule="exact"/>
              <w:rPr>
                <w:sz w:val="20"/>
                <w:szCs w:val="20"/>
                <w:color w:val="auto"/>
              </w:rPr>
            </w:pPr>
            <w:r>
              <w:rPr>
                <w:rFonts w:ascii="Times New Roman" w:cs="Times New Roman" w:eastAsia="Times New Roman" w:hAnsi="Times New Roman"/>
                <w:sz w:val="22"/>
                <w:szCs w:val="22"/>
                <w:b w:val="1"/>
                <w:bCs w:val="1"/>
                <w:color w:val="auto"/>
              </w:rPr>
              <w:t xml:space="preserve">Effect of Amendment and Restatement of the Existing Credit Agreement </w:t>
            </w:r>
            <w:r>
              <w:rPr>
                <w:rFonts w:ascii="Times New Roman" w:cs="Times New Roman" w:eastAsia="Times New Roman" w:hAnsi="Times New Roman"/>
                <w:sz w:val="22"/>
                <w:szCs w:val="22"/>
                <w:color w:val="auto"/>
              </w:rPr>
              <w:t>138</w:t>
            </w:r>
          </w:p>
        </w:tc>
        <w:tc>
          <w:tcPr>
            <w:tcW w:w="340" w:type="dxa"/>
            <w:vAlign w:val="bottom"/>
            <w:tcBorders>
              <w:bottom w:val="single" w:sz="8" w:color="0000FF"/>
            </w:tcBorders>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1480" w:type="dxa"/>
            <w:vAlign w:val="bottom"/>
            <w:vMerge w:val="continue"/>
          </w:tcPr>
          <w:p>
            <w:pPr>
              <w:spacing w:after="0"/>
              <w:rPr>
                <w:sz w:val="16"/>
                <w:szCs w:val="16"/>
                <w:color w:val="auto"/>
              </w:rPr>
            </w:pPr>
          </w:p>
        </w:tc>
        <w:tc>
          <w:tcPr>
            <w:tcW w:w="7800" w:type="dxa"/>
            <w:vAlign w:val="bottom"/>
            <w:gridSpan w:val="15"/>
            <w:vMerge w:val="continue"/>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48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b w:val="1"/>
                <w:bCs w:val="1"/>
                <w:color w:val="auto"/>
              </w:rPr>
              <w:t>10.25</w:t>
            </w:r>
          </w:p>
        </w:tc>
        <w:tc>
          <w:tcPr>
            <w:tcW w:w="2240" w:type="dxa"/>
            <w:vAlign w:val="bottom"/>
            <w:gridSpan w:val="4"/>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Release of Collateral</w:t>
            </w:r>
          </w:p>
        </w:tc>
        <w:tc>
          <w:tcPr>
            <w:tcW w:w="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139</w:t>
            </w: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80" w:type="dxa"/>
            <w:vAlign w:val="bottom"/>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10.26</w:t>
            </w:r>
          </w:p>
        </w:tc>
        <w:tc>
          <w:tcPr>
            <w:tcW w:w="5220" w:type="dxa"/>
            <w:vAlign w:val="bottom"/>
            <w:gridSpan w:val="10"/>
          </w:tcPr>
          <w:p>
            <w:pPr>
              <w:ind w:left="240"/>
              <w:spacing w:after="0"/>
              <w:rPr>
                <w:sz w:val="20"/>
                <w:szCs w:val="20"/>
                <w:color w:val="auto"/>
              </w:rPr>
            </w:pPr>
            <w:r>
              <w:rPr>
                <w:rFonts w:ascii="Times New Roman" w:cs="Times New Roman" w:eastAsia="Times New Roman" w:hAnsi="Times New Roman"/>
                <w:sz w:val="22"/>
                <w:szCs w:val="22"/>
                <w:b w:val="1"/>
                <w:bCs w:val="1"/>
                <w:color w:val="auto"/>
              </w:rPr>
              <w:t>Acknowledgement Regarding Any Supported QFCs</w:t>
            </w: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139</w:t>
            </w: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iv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23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1.01 Existing Pledges of Foreign Subsidiaries</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1.02 Specified Excluded Subsidiaries</w:t>
      </w:r>
    </w:p>
    <w:p>
      <w:pPr>
        <w:ind w:left="820"/>
        <w:spacing w:after="0"/>
        <w:rPr>
          <w:sz w:val="20"/>
          <w:szCs w:val="20"/>
          <w:color w:val="auto"/>
        </w:rPr>
      </w:pPr>
      <w:r>
        <w:rPr>
          <w:rFonts w:ascii="Times New Roman" w:cs="Times New Roman" w:eastAsia="Times New Roman" w:hAnsi="Times New Roman"/>
          <w:sz w:val="20"/>
          <w:szCs w:val="20"/>
          <w:color w:val="auto"/>
        </w:rPr>
        <w:t>2.01 Commitments and Applicable Percentages</w:t>
      </w:r>
    </w:p>
    <w:p>
      <w:pPr>
        <w:ind w:left="820"/>
        <w:spacing w:after="0"/>
        <w:rPr>
          <w:sz w:val="20"/>
          <w:szCs w:val="20"/>
          <w:color w:val="auto"/>
        </w:rPr>
      </w:pPr>
      <w:r>
        <w:rPr>
          <w:rFonts w:ascii="Times New Roman" w:cs="Times New Roman" w:eastAsia="Times New Roman" w:hAnsi="Times New Roman"/>
          <w:sz w:val="20"/>
          <w:szCs w:val="20"/>
          <w:color w:val="auto"/>
        </w:rPr>
        <w:t>5.11 Subsidiaries</w:t>
      </w:r>
    </w:p>
    <w:p>
      <w:pPr>
        <w:ind w:left="820"/>
        <w:spacing w:after="0"/>
        <w:rPr>
          <w:sz w:val="20"/>
          <w:szCs w:val="20"/>
          <w:color w:val="auto"/>
        </w:rPr>
      </w:pPr>
      <w:r>
        <w:rPr>
          <w:rFonts w:ascii="Times New Roman" w:cs="Times New Roman" w:eastAsia="Times New Roman" w:hAnsi="Times New Roman"/>
          <w:sz w:val="20"/>
          <w:szCs w:val="20"/>
          <w:color w:val="auto"/>
        </w:rPr>
        <w:t>6.17 Post-Closing Obligations</w:t>
      </w:r>
    </w:p>
    <w:p>
      <w:pPr>
        <w:ind w:left="820"/>
        <w:spacing w:after="0"/>
        <w:rPr>
          <w:sz w:val="20"/>
          <w:szCs w:val="20"/>
          <w:color w:val="auto"/>
        </w:rPr>
      </w:pPr>
      <w:r>
        <w:rPr>
          <w:rFonts w:ascii="Times New Roman" w:cs="Times New Roman" w:eastAsia="Times New Roman" w:hAnsi="Times New Roman"/>
          <w:sz w:val="20"/>
          <w:szCs w:val="20"/>
          <w:color w:val="auto"/>
        </w:rPr>
        <w:t>7.01 Existing Liens</w:t>
      </w:r>
    </w:p>
    <w:p>
      <w:pPr>
        <w:ind w:left="820"/>
        <w:spacing w:after="0"/>
        <w:rPr>
          <w:sz w:val="20"/>
          <w:szCs w:val="20"/>
          <w:color w:val="auto"/>
        </w:rPr>
      </w:pPr>
      <w:r>
        <w:rPr>
          <w:rFonts w:ascii="Times New Roman" w:cs="Times New Roman" w:eastAsia="Times New Roman" w:hAnsi="Times New Roman"/>
          <w:sz w:val="20"/>
          <w:szCs w:val="20"/>
          <w:color w:val="auto"/>
        </w:rPr>
        <w:t>7.02 Existing Investments</w:t>
      </w:r>
    </w:p>
    <w:p>
      <w:pPr>
        <w:ind w:left="820"/>
        <w:spacing w:after="0"/>
        <w:rPr>
          <w:sz w:val="20"/>
          <w:szCs w:val="20"/>
          <w:color w:val="auto"/>
        </w:rPr>
      </w:pPr>
      <w:r>
        <w:rPr>
          <w:rFonts w:ascii="Times New Roman" w:cs="Times New Roman" w:eastAsia="Times New Roman" w:hAnsi="Times New Roman"/>
          <w:sz w:val="20"/>
          <w:szCs w:val="20"/>
          <w:color w:val="auto"/>
        </w:rPr>
        <w:t>7.03 Existing Indebtedness</w:t>
      </w:r>
    </w:p>
    <w:p>
      <w:pPr>
        <w:ind w:left="820"/>
        <w:spacing w:after="0"/>
        <w:rPr>
          <w:sz w:val="20"/>
          <w:szCs w:val="20"/>
          <w:color w:val="auto"/>
        </w:rPr>
      </w:pPr>
      <w:r>
        <w:rPr>
          <w:rFonts w:ascii="Times New Roman" w:cs="Times New Roman" w:eastAsia="Times New Roman" w:hAnsi="Times New Roman"/>
          <w:sz w:val="20"/>
          <w:szCs w:val="20"/>
          <w:color w:val="auto"/>
        </w:rPr>
        <w:t>7.08 Existing Affiliate Transactions</w:t>
      </w:r>
    </w:p>
    <w:p>
      <w:pPr>
        <w:ind w:left="820"/>
        <w:spacing w:after="0"/>
        <w:tabs>
          <w:tab w:leader="none" w:pos="1580" w:val="left"/>
        </w:tabs>
        <w:rPr>
          <w:sz w:val="20"/>
          <w:szCs w:val="20"/>
          <w:color w:val="auto"/>
        </w:rPr>
      </w:pPr>
      <w:r>
        <w:rPr>
          <w:rFonts w:ascii="Times New Roman" w:cs="Times New Roman" w:eastAsia="Times New Roman" w:hAnsi="Times New Roman"/>
          <w:sz w:val="20"/>
          <w:szCs w:val="20"/>
          <w:color w:val="auto"/>
        </w:rPr>
        <w:t>10.02</w:t>
      </w:r>
      <w:r>
        <w:rPr>
          <w:sz w:val="20"/>
          <w:szCs w:val="20"/>
          <w:color w:val="auto"/>
        </w:rPr>
        <w:tab/>
      </w:r>
      <w:r>
        <w:rPr>
          <w:rFonts w:ascii="Times New Roman" w:cs="Times New Roman" w:eastAsia="Times New Roman" w:hAnsi="Times New Roman"/>
          <w:sz w:val="19"/>
          <w:szCs w:val="19"/>
          <w:color w:val="auto"/>
        </w:rPr>
        <w:t>Administrative Agent’s Office; Certain Addresses for Notices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i w:val="1"/>
          <w:iCs w:val="1"/>
          <w:color w:val="auto"/>
        </w:rPr>
        <w:t>Form of</w:t>
      </w:r>
    </w:p>
    <w:p>
      <w:pPr>
        <w:spacing w:after="0" w:line="220" w:lineRule="exact"/>
        <w:rPr>
          <w:sz w:val="20"/>
          <w:szCs w:val="20"/>
          <w:color w:val="auto"/>
        </w:rPr>
      </w:pPr>
    </w:p>
    <w:p>
      <w:pPr>
        <w:jc w:val="both"/>
        <w:ind w:left="820" w:right="6739" w:hanging="10"/>
        <w:spacing w:after="0" w:line="245" w:lineRule="auto"/>
        <w:tabs>
          <w:tab w:leader="none" w:pos="121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Committed Loan Notice B Swing Line Loan Notice C Note (Revolving and Term) D Compliance Certificate</w:t>
      </w:r>
    </w:p>
    <w:p>
      <w:pPr>
        <w:ind w:left="820" w:right="663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 Assignment and Assumption F Subsidiary Guaranty</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   Company Guaranty</w:t>
      </w:r>
    </w:p>
    <w:p>
      <w:pPr>
        <w:ind w:left="820" w:right="427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 Designated Borrower Request and Assumption Agreement I Designated Borrower Notice</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J   Notice of Loan Prepayment</w:t>
      </w:r>
    </w:p>
    <w:p>
      <w:pPr>
        <w:ind w:left="820" w:right="6259"/>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 U.S. Tax Compliance Certificates L Funding Indemnity Letter</w:t>
      </w:r>
    </w:p>
    <w:p>
      <w:pPr>
        <w:ind w:left="8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  Perfection Certificate</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v</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0"/>
          <w:szCs w:val="20"/>
          <w:b w:val="1"/>
          <w:bCs w:val="1"/>
          <w:color w:val="auto"/>
        </w:rPr>
        <w:t>FOURTH AMENDED AND RESTATED CREDIT AGREEMENT</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FOURTH AMENDED AND RESTATED CREDIT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is entered into as of December 22, 2021, among </w:t>
      </w:r>
      <w:r>
        <w:rPr>
          <w:rFonts w:ascii="Times New Roman" w:cs="Times New Roman" w:eastAsia="Times New Roman" w:hAnsi="Times New Roman"/>
          <w:sz w:val="20"/>
          <w:szCs w:val="20"/>
          <w:b w:val="1"/>
          <w:bCs w:val="1"/>
          <w:color w:val="auto"/>
        </w:rPr>
        <w:t>THE HAIN CELESTIAL GROUP,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certain wholly-owned Subsidiaries of the Company party hereto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and, together with the Company,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and each, a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each lender from time to time party hereto (collectively,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and individually, a “</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BANK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AMERICA, N.A.</w:t>
      </w:r>
      <w:r>
        <w:rPr>
          <w:rFonts w:ascii="Times New Roman" w:cs="Times New Roman" w:eastAsia="Times New Roman" w:hAnsi="Times New Roman"/>
          <w:sz w:val="20"/>
          <w:szCs w:val="20"/>
          <w:color w:val="auto"/>
        </w:rPr>
        <w:t>, as Administrative Agent, Swing Line Lender and L/C Issuer, and</w:t>
      </w:r>
      <w:r>
        <w:rPr>
          <w:rFonts w:ascii="Times New Roman" w:cs="Times New Roman" w:eastAsia="Times New Roman" w:hAnsi="Times New Roman"/>
          <w:sz w:val="20"/>
          <w:szCs w:val="20"/>
          <w:b w:val="1"/>
          <w:bCs w:val="1"/>
          <w:color w:val="auto"/>
        </w:rPr>
        <w:t xml:space="preserve"> BANK OF AMERICA, N.A., CANADA BRANCH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Global Swing Line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PRELIMINARY STATEMENTS</w:t>
      </w:r>
    </w:p>
    <w:p>
      <w:pPr>
        <w:spacing w:after="0" w:line="215"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Pursuant to the Third Amended and Restated Credit Agreement, dated as of February 6, 2018 (as amended by a First Amendment to Third Amended and Restated Credit Agreement dated as of November 7, 2018, as further amended by that certain Second Amendment to Third Amended and Restated Credit Agreement dated as of February 6, 2019, as further amended by that certain Third Amendment to Third Amended and Restated Credit Agreement dated as of May 8, 2019, as further amended by that certain Fourth Amendment to Third Amended and Restated Credit Agreement dated as of November 6, 2019, as further amended by that certain Fifth Amendment to Third Amended and Restated Credit Agreement dated as of September 17, 2021, and as further amended, supplemented or otherwise modified prior to the Closing Date, the “</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among the Company, Bank of America, N.A., as Administrative Agent, U.S. Swing Line Lender and L/C Issuer, Bank of America Merrill Lynch International Designated Activity Company, as Global Swing Line Lender and the other lenders from time to time party thereto (the “</w:t>
      </w:r>
      <w:r>
        <w:rPr>
          <w:rFonts w:ascii="Times New Roman" w:cs="Times New Roman" w:eastAsia="Times New Roman" w:hAnsi="Times New Roman"/>
          <w:sz w:val="22"/>
          <w:szCs w:val="22"/>
          <w:u w:val="single" w:color="auto"/>
          <w:color w:val="auto"/>
        </w:rPr>
        <w:t>Existing Lenders</w:t>
      </w:r>
      <w:r>
        <w:rPr>
          <w:rFonts w:ascii="Times New Roman" w:cs="Times New Roman" w:eastAsia="Times New Roman" w:hAnsi="Times New Roman"/>
          <w:sz w:val="22"/>
          <w:szCs w:val="22"/>
          <w:color w:val="auto"/>
        </w:rPr>
        <w:t>”), the Existing Lenders agreed to make extensions of credit to the Company and its Subsidiaries on the terms and conditions set forth therein, including making loans (the “</w:t>
      </w:r>
      <w:r>
        <w:rPr>
          <w:rFonts w:ascii="Times New Roman" w:cs="Times New Roman" w:eastAsia="Times New Roman" w:hAnsi="Times New Roman"/>
          <w:sz w:val="22"/>
          <w:szCs w:val="22"/>
          <w:u w:val="single" w:color="auto"/>
          <w:color w:val="auto"/>
        </w:rPr>
        <w:t>Existing Loans</w:t>
      </w:r>
      <w:r>
        <w:rPr>
          <w:rFonts w:ascii="Times New Roman" w:cs="Times New Roman" w:eastAsia="Times New Roman" w:hAnsi="Times New Roman"/>
          <w:sz w:val="22"/>
          <w:szCs w:val="22"/>
          <w:color w:val="auto"/>
        </w:rPr>
        <w:t>”) to the Company and its Subsidiaries, and the L/C Issuer agreed to issue Letters of Credit (the “</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to the Company and its Subsidiaries on the terms and conditions set forth therein.</w:t>
      </w:r>
    </w:p>
    <w:p>
      <w:pPr>
        <w:spacing w:after="0" w:line="209"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The Company has requested that the Existing Credit Agreement be amended and restated in its entirety to become effective and binding on the Company and its Subsidiaries pursuant to the terms of this Agreement, and the Lenders (including certain of the Existing Lenders) have agreed (subject to the terms of this Agreement) to amend and restate the Existing Credit Agreement in its entirety to read as set forth in this Agreement, and it has been agreed by the parties to the Existing Credit Agreement that (a) the commitments which the Existing Lenders have agreed to extend to the Borrowers under the Existing Credit Agreement shall be extended or advanced upon the amended and restated terms and conditions contained in this Agreement; and (b) the Existing Loans, all Letters of Credit (including the Existing Letters of Credit) and other Obligations (as defined in the Existing Credit Agreement) outstanding under the Existing Credit Agreement shall be governed by and deemed to be outstanding under the amended and restated terms and conditions contained in this Agreement, with the intent that the terms of this Agreement shall supersede the terms of the Existing Credit Agreement (each of which shall hereafter have no further effect upon the parties thereto, other than for accrued and unpaid fees and expenses, and indemnification obligations, if any, accrued and owing, under the terms of the Existing Credit Agreement on or prior to the Closing Date or arising (in the case of indemnification) under the terms of the Existing Credit Agreement). Furthermore, and in connection with the foregoing, the Company has requested that the Lenders provide a term loan facility, and the Lenders have indicated their</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FF0000"/>
          <w:strike w:val="1"/>
        </w:rPr>
        <w:t>#526279330_v2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2"/>
          <w:szCs w:val="22"/>
          <w:color w:val="auto"/>
        </w:rPr>
        <w:t>willingness to lend under such a term loan facility, on the terms and subject to the conditions set forth herein.</w:t>
      </w:r>
    </w:p>
    <w:p>
      <w:pPr>
        <w:spacing w:after="0" w:line="200" w:lineRule="exact"/>
        <w:rPr>
          <w:sz w:val="20"/>
          <w:szCs w:val="20"/>
          <w:color w:val="auto"/>
        </w:rPr>
      </w:pPr>
    </w:p>
    <w:p>
      <w:pPr>
        <w:spacing w:after="0" w:line="24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In consideration of the mutual covenants and agreements herein contained, the parties hereto covenant and agree to amend and restate the Existing Credit Agreement, and the Existing Credit Agreement is hereby amended and restated in its entirety,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 AND ACCOUNTING TERMS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1.01 Defined Terms</w:t>
      </w:r>
      <w:r>
        <w:rPr>
          <w:rFonts w:ascii="Times New Roman" w:cs="Times New Roman" w:eastAsia="Times New Roman" w:hAnsi="Times New Roman"/>
          <w:sz w:val="20"/>
          <w:szCs w:val="20"/>
          <w:color w:val="auto"/>
        </w:rPr>
        <w:t>. As used in this Agreement, the following terms shall have the meanings set forth below:</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Acceptable Acquisition</w:t>
      </w:r>
      <w:r>
        <w:rPr>
          <w:rFonts w:ascii="Times New Roman" w:cs="Times New Roman" w:eastAsia="Times New Roman" w:hAnsi="Times New Roman"/>
          <w:sz w:val="20"/>
          <w:szCs w:val="20"/>
          <w:color w:val="auto"/>
        </w:rPr>
        <w:t>” means any acquisition (whether by merger, amalgamation or otherwise) by the Company or any Subsidiary of more than 50% of the outstanding Equity Interests of a Person which is engaged in a line of business similar or complementary to the business of the Company or such Subsidiary (or reasonable extensions thereof) or the purchase of all or substantially all of the assets owned by such Person or a line of business or brand of such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Account Debtor</w:t>
      </w:r>
      <w:r>
        <w:rPr>
          <w:rFonts w:ascii="Times New Roman" w:cs="Times New Roman" w:eastAsia="Times New Roman" w:hAnsi="Times New Roman"/>
          <w:sz w:val="20"/>
          <w:szCs w:val="20"/>
          <w:color w:val="auto"/>
        </w:rPr>
        <w:t>” means any Person obligated on an Account.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w:t>
      </w:r>
      <w:r>
        <w:rPr>
          <w:rFonts w:ascii="Times New Roman" w:cs="Times New Roman" w:eastAsia="Times New Roman" w:hAnsi="Times New Roman"/>
          <w:sz w:val="20"/>
          <w:szCs w:val="20"/>
          <w:color w:val="auto"/>
        </w:rPr>
        <w:t>” means Bank of America (or any of its designated branch offices or affiliates) in its capacity as administrative agent under any of the Loan Documents, or any successor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Agent’s Office</w:t>
      </w:r>
      <w:r>
        <w:rPr>
          <w:rFonts w:ascii="Times New Roman" w:cs="Times New Roman" w:eastAsia="Times New Roman" w:hAnsi="Times New Roman"/>
          <w:sz w:val="20"/>
          <w:szCs w:val="20"/>
          <w:color w:val="auto"/>
        </w:rPr>
        <w:t xml:space="preserve">” means, with respect to any currency, the Administrative Agent’s address and, as appropriate, account as set forth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xml:space="preserve"> with respect to such currency, or such other address or account with respect to such currency as the Administrative Agent may from time to time notify to the Company and the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Administrative Questionnaire</w:t>
      </w:r>
      <w:r>
        <w:rPr>
          <w:rFonts w:ascii="Times New Roman" w:cs="Times New Roman" w:eastAsia="Times New Roman" w:hAnsi="Times New Roman"/>
          <w:sz w:val="20"/>
          <w:szCs w:val="20"/>
          <w:color w:val="auto"/>
        </w:rPr>
        <w:t>” means an administrative questionnaire in form approved by the Administrative Agent.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means, with respect to any Person, another Person that directly, or indirectly through one or more intermediaries, Controls or is Controlled by or is under common Control with the Person specified.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Aggregate Commitments</w:t>
      </w:r>
      <w:r>
        <w:rPr>
          <w:rFonts w:ascii="Times New Roman" w:cs="Times New Roman" w:eastAsia="Times New Roman" w:hAnsi="Times New Roman"/>
          <w:sz w:val="20"/>
          <w:szCs w:val="20"/>
          <w:color w:val="auto"/>
        </w:rPr>
        <w:t>” means the Commitments of all the Lenders.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Agreed Currency</w:t>
      </w:r>
      <w:r>
        <w:rPr>
          <w:rFonts w:ascii="Times New Roman" w:cs="Times New Roman" w:eastAsia="Times New Roman" w:hAnsi="Times New Roman"/>
          <w:sz w:val="20"/>
          <w:szCs w:val="20"/>
          <w:color w:val="auto"/>
        </w:rPr>
        <w:t>” means Dollars or any Alternative Currency, as applicable.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introductory paragraph</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8" w:name="page179"/>
    <w:bookmarkEnd w:id="178"/>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w:t>
      </w:r>
      <w:r>
        <w:rPr>
          <w:rFonts w:ascii="Times New Roman" w:cs="Times New Roman" w:eastAsia="Times New Roman" w:hAnsi="Times New Roman"/>
          <w:sz w:val="20"/>
          <w:szCs w:val="20"/>
          <w:color w:val="auto"/>
        </w:rPr>
        <w:t xml:space="preserve">” means each of Euro, Sterling, Canadian Dollars and each other currency (other than Dollars) that is approved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each Alternative Currency, such requested currency is an Eligible Currency.</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w:t>
      </w:r>
      <w:r>
        <w:rPr>
          <w:rFonts w:ascii="Times New Roman" w:cs="Times New Roman" w:eastAsia="Times New Roman" w:hAnsi="Times New Roman"/>
          <w:sz w:val="20"/>
          <w:szCs w:val="20"/>
          <w:color w:val="auto"/>
        </w:rPr>
        <w:t>” means, for any day, with respect to any Credit Extension:</w:t>
      </w:r>
    </w:p>
    <w:p>
      <w:pPr>
        <w:spacing w:after="0" w:line="216" w:lineRule="exact"/>
        <w:rPr>
          <w:sz w:val="20"/>
          <w:szCs w:val="20"/>
          <w:color w:val="auto"/>
        </w:rPr>
      </w:pPr>
    </w:p>
    <w:p>
      <w:pPr>
        <w:ind w:left="760" w:right="20" w:firstLine="745"/>
        <w:spacing w:after="0" w:line="269" w:lineRule="auto"/>
        <w:tabs>
          <w:tab w:leader="none" w:pos="20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Sterling, the rate per annum equal to SONIA determined pursuant to the definition thereof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SONIA Adjustment; and</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 w:cs="Times New Roman" w:eastAsia="Times New Roman" w:hAnsi="Times New Roman"/>
          <w:sz w:val="20"/>
          <w:szCs w:val="20"/>
          <w:u w:val="single" w:color="auto"/>
          <w:color w:val="auto"/>
        </w:rPr>
        <w:t>Section 1.06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each case in consultation with the Company;</w:t>
      </w:r>
    </w:p>
    <w:p>
      <w:pPr>
        <w:spacing w:after="0" w:line="185" w:lineRule="exact"/>
        <w:rPr>
          <w:sz w:val="20"/>
          <w:szCs w:val="20"/>
          <w:color w:val="auto"/>
        </w:rPr>
      </w:pPr>
    </w:p>
    <w:p>
      <w:pPr>
        <w:ind w:left="76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Alternative Currency Daily Rate shall be less than zero, such rate shall be deemed zero for purposes of this Agreement.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Daily Rate Loan</w:t>
      </w:r>
      <w:r>
        <w:rPr>
          <w:rFonts w:ascii="Times New Roman" w:cs="Times New Roman" w:eastAsia="Times New Roman" w:hAnsi="Times New Roman"/>
          <w:sz w:val="20"/>
          <w:szCs w:val="20"/>
          <w:color w:val="auto"/>
        </w:rPr>
        <w:t>” means a Loan (other than a Global Swing Line Loan) that bears interest at a rate based on the definition of “Alternative Currency Daily Rate.” All Alternative Currency Daily Rate Loans must be denominated in an Alternative Currency.</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Equivalent</w:t>
      </w:r>
      <w:r>
        <w:rPr>
          <w:rFonts w:ascii="Times New Roman" w:cs="Times New Roman" w:eastAsia="Times New Roman" w:hAnsi="Times New Roman"/>
          <w:sz w:val="20"/>
          <w:szCs w:val="20"/>
          <w:color w:val="auto"/>
        </w:rPr>
        <w:t>” means, at any time, with respect to any amount denominated in Dollars, the equivalent amount thereof in the applicable Alternative Currency as determined by the Administrative Agent or the L/C Issuer, as the case may be, at such time on the basis of the Spot Rate (determined in respect of the most recent Revaluation Date) for the purchase of such Alternative Currency with Dollars.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Loan</w:t>
      </w:r>
      <w:r>
        <w:rPr>
          <w:rFonts w:ascii="Times New Roman" w:cs="Times New Roman" w:eastAsia="Times New Roman" w:hAnsi="Times New Roman"/>
          <w:sz w:val="20"/>
          <w:szCs w:val="20"/>
          <w:color w:val="auto"/>
        </w:rPr>
        <w:t>” means an Alternative Currency Daily Rate Loan or an Alternative Currency Term Rate Loan, as applicable.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w:t>
      </w:r>
      <w:r>
        <w:rPr>
          <w:rFonts w:ascii="Times New Roman" w:cs="Times New Roman" w:eastAsia="Times New Roman" w:hAnsi="Times New Roman"/>
          <w:sz w:val="20"/>
          <w:szCs w:val="20"/>
          <w:color w:val="auto"/>
        </w:rPr>
        <w:t>” means, for any Interest Period, with respect to any Credit Extension (other than a Global Swing Line Loan):</w:t>
      </w:r>
    </w:p>
    <w:p>
      <w:pPr>
        <w:spacing w:after="0" w:line="159" w:lineRule="exact"/>
        <w:rPr>
          <w:sz w:val="20"/>
          <w:szCs w:val="20"/>
          <w:color w:val="auto"/>
        </w:rPr>
      </w:pPr>
    </w:p>
    <w:p>
      <w:pPr>
        <w:jc w:val="both"/>
        <w:ind w:left="760" w:firstLine="745"/>
        <w:spacing w:after="0" w:line="249" w:lineRule="auto"/>
        <w:tabs>
          <w:tab w:leader="none" w:pos="20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Euros, the rate per annum equal to the Euro Interbank Offered Rate (“</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Canadian dollars, the rate per annum equal to the Canadian Dollar Offered Rate (“</w:t>
      </w:r>
      <w:r>
        <w:rPr>
          <w:rFonts w:ascii="Times New Roman" w:cs="Times New Roman" w:eastAsia="Times New Roman" w:hAnsi="Times New Roman"/>
          <w:sz w:val="20"/>
          <w:szCs w:val="20"/>
          <w:u w:val="single" w:color="auto"/>
          <w:color w:val="auto"/>
        </w:rPr>
        <w:t>CDOR</w:t>
      </w:r>
      <w:r>
        <w:rPr>
          <w:rFonts w:ascii="Times New Roman" w:cs="Times New Roman" w:eastAsia="Times New Roman" w:hAnsi="Times New Roman"/>
          <w:sz w:val="20"/>
          <w:szCs w:val="20"/>
          <w:color w:val="auto"/>
        </w:rPr>
        <w:t>”), as published on the applicable Reuters screen page (or such other commercially available source providing such quotations as may be designated by the Administrative Agent from time to time) (in such case, the “</w:t>
      </w:r>
      <w:r>
        <w:rPr>
          <w:rFonts w:ascii="Times New Roman" w:cs="Times New Roman" w:eastAsia="Times New Roman" w:hAnsi="Times New Roman"/>
          <w:sz w:val="20"/>
          <w:szCs w:val="20"/>
          <w:u w:val="single" w:color="auto"/>
          <w:color w:val="auto"/>
        </w:rPr>
        <w:t>CDOR Rate</w:t>
      </w:r>
      <w:r>
        <w:rPr>
          <w:rFonts w:ascii="Times New Roman" w:cs="Times New Roman" w:eastAsia="Times New Roman" w:hAnsi="Times New Roman"/>
          <w:sz w:val="20"/>
          <w:szCs w:val="20"/>
          <w:color w:val="auto"/>
        </w:rPr>
        <w:t>”) on the Rate Determination Date with a term equivalent to such Interest Period;</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denominated in any other Alternative Currency (to the extent such Loans denominated in such currency will bear interest at a term rate), the term rate per annum as designated with respect to such Alternative Currency at the time such Alternative Currency is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9" w:name="page180"/>
    <w:bookmarkEnd w:id="179"/>
    <w:p>
      <w:pPr>
        <w:ind w:left="760"/>
        <w:spacing w:after="0" w:line="269" w:lineRule="auto"/>
        <w:rPr>
          <w:sz w:val="20"/>
          <w:szCs w:val="20"/>
          <w:color w:val="auto"/>
        </w:rPr>
      </w:pPr>
      <w:r>
        <w:rPr>
          <w:rFonts w:ascii="Times New Roman" w:cs="Times New Roman" w:eastAsia="Times New Roman" w:hAnsi="Times New Roman"/>
          <w:sz w:val="20"/>
          <w:szCs w:val="20"/>
          <w:color w:val="auto"/>
        </w:rPr>
        <w:t xml:space="preserve">approved by the Administrative Agent and the relevant Lenders pursuant to </w:t>
      </w:r>
      <w:r>
        <w:rPr>
          <w:rFonts w:ascii="Times New Roman" w:cs="Times New Roman" w:eastAsia="Times New Roman" w:hAnsi="Times New Roman"/>
          <w:sz w:val="20"/>
          <w:szCs w:val="20"/>
          <w:u w:val="single" w:color="auto"/>
          <w:color w:val="auto"/>
        </w:rPr>
        <w:t>Section 1.06 plus</w:t>
      </w:r>
      <w:r>
        <w:rPr>
          <w:rFonts w:ascii="Times New Roman" w:cs="Times New Roman" w:eastAsia="Times New Roman" w:hAnsi="Times New Roman"/>
          <w:sz w:val="20"/>
          <w:szCs w:val="20"/>
          <w:color w:val="auto"/>
        </w:rPr>
        <w:t xml:space="preserve"> the adjustment (if any) determined by the Administrative Agent and the relevant Lenders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 each case in consultation with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Alternative Currency Term Rate shall be less than zero, such rate shall be deemed zero for purposes of this Agreement.</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Alternative Currency Term Rate Loan</w:t>
      </w:r>
      <w:r>
        <w:rPr>
          <w:rFonts w:ascii="Times New Roman" w:cs="Times New Roman" w:eastAsia="Times New Roman" w:hAnsi="Times New Roman"/>
          <w:sz w:val="20"/>
          <w:szCs w:val="20"/>
          <w:color w:val="auto"/>
        </w:rPr>
        <w:t>” means a Loan that bears interest at a rate based on the definition of “Alternative Currency Term Rate.” All Alternative Currency Term Rate Loans must be denominated in an Alternative Currency.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Ancillary Obligations</w:t>
      </w:r>
      <w:r>
        <w:rPr>
          <w:rFonts w:ascii="Times New Roman" w:cs="Times New Roman" w:eastAsia="Times New Roman" w:hAnsi="Times New Roman"/>
          <w:sz w:val="20"/>
          <w:szCs w:val="20"/>
          <w:color w:val="auto"/>
        </w:rPr>
        <w:t>” means any and all Obligations arising under any Secured Ancillary Agreement.</w:t>
      </w:r>
    </w:p>
    <w:p>
      <w:pPr>
        <w:spacing w:after="0" w:line="216" w:lineRule="exact"/>
        <w:rPr>
          <w:sz w:val="20"/>
          <w:szCs w:val="20"/>
          <w:color w:val="auto"/>
        </w:rPr>
      </w:pPr>
    </w:p>
    <w:p>
      <w:pPr>
        <w:ind w:firstLine="79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Authority</w:t>
      </w:r>
      <w:r>
        <w:rPr>
          <w:rFonts w:ascii="Times New Roman" w:cs="Times New Roman" w:eastAsia="Times New Roman" w:hAnsi="Times New Roman"/>
          <w:sz w:val="20"/>
          <w:szCs w:val="20"/>
          <w:color w:val="auto"/>
        </w:rPr>
        <w:t>” means with respect to any Alternative Currency, the applicable administrator for the Relevant Rate for such Alternative Currency or any Governmental Authority having jurisdiction over the Administrative Agent or such administrator.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Percentage</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left="760" w:right="20" w:firstLine="745"/>
        <w:spacing w:after="0" w:line="254" w:lineRule="auto"/>
        <w:tabs>
          <w:tab w:leader="none" w:pos="190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respect of the Term Facility, with respect to any Term Lender at any time, the percentage (carried out to the ninth decimal place) of the Term Facility represented by (i) on or prior to the Closing Date, such Term Lender’s Term Commitment at such time and (ii) thereafter, the outstanding principal amount of such Term Lender’s Term Loans at such time;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respect of the U.S. Revolving Credit Facility, with respect to any U.S. Revolving Credit Lender at any time, the percentage (carried out to the ninth decimal place) of the U.S. Revolving Credit Facility represented by such U.S. Revolving Credit Lender’s U.S. Revolving Credit Commitment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and</w:t>
      </w:r>
    </w:p>
    <w:p>
      <w:pPr>
        <w:spacing w:after="0" w:line="174" w:lineRule="exact"/>
        <w:rPr>
          <w:rFonts w:ascii="Times New Roman" w:cs="Times New Roman" w:eastAsia="Times New Roman" w:hAnsi="Times New Roman"/>
          <w:sz w:val="20"/>
          <w:szCs w:val="20"/>
          <w:color w:val="auto"/>
        </w:rPr>
      </w:pPr>
    </w:p>
    <w:p>
      <w:pPr>
        <w:jc w:val="both"/>
        <w:ind w:left="760" w:right="20" w:firstLine="745"/>
        <w:spacing w:after="0" w:line="254" w:lineRule="auto"/>
        <w:tabs>
          <w:tab w:leader="none" w:pos="201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respect of the Global Revolving Credit Facility, with respect to any Global Revolving Credit Lender at any time, the percentage (carried out to the ninth decimal place) of the Global Revolving Credit Facility represented by such Global Revolving Credit Lender’s Global Revolving Credit Commitment at such time, subject to adjustment as provided in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left="760"/>
        <w:spacing w:after="0" w:line="243" w:lineRule="auto"/>
        <w:rPr>
          <w:sz w:val="20"/>
          <w:szCs w:val="20"/>
          <w:color w:val="auto"/>
        </w:rPr>
      </w:pPr>
      <w:r>
        <w:rPr>
          <w:rFonts w:ascii="Times New Roman" w:cs="Times New Roman" w:eastAsia="Times New Roman" w:hAnsi="Times New Roman"/>
          <w:sz w:val="20"/>
          <w:szCs w:val="20"/>
          <w:color w:val="auto"/>
        </w:rPr>
        <w:t xml:space="preserve">If the commitment of each Revolving Lender to make Revolving Loans and the obligation of the L/C Issuer to make L/C Credit Extensions have been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or if the Revolving Commitments have expired, then the Applicable Percentage of each Revolving Lender in respect of the U.S. Revolving Credit Facility or the Global Revolving Credit Facility, as the case may be, shall be determined based on the Applicable Percentage of such Revolving Lender in respect of the U.S. Revolving Credit Facility or the Global Revolving Credit Facility, as the case may be, most recently in effect, giving effect to any subsequent assignments. The initial Applicable Percentage of each Lender in respect of each Facility is set forth opposite the name of such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or in the Assignment and Assumption pursuant to which such Lender becomes a party hereto, as applicable.</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Rate</w:t>
      </w:r>
      <w:r>
        <w:rPr>
          <w:rFonts w:ascii="Times New Roman" w:cs="Times New Roman" w:eastAsia="Times New Roman" w:hAnsi="Times New Roman"/>
          <w:sz w:val="20"/>
          <w:szCs w:val="20"/>
          <w:color w:val="auto"/>
        </w:rPr>
        <w:t xml:space="preserve">” means, in respect of each Facility, a rate per annum equal to (i) </w:t>
      </w:r>
      <w:r>
        <w:rPr>
          <w:rFonts w:ascii="Times New Roman" w:cs="Times New Roman" w:eastAsia="Times New Roman" w:hAnsi="Times New Roman"/>
          <w:sz w:val="20"/>
          <w:szCs w:val="20"/>
          <w:color w:val="FF0000"/>
          <w:strike w:val="1"/>
        </w:rPr>
        <w:t>3.00</w:t>
      </w:r>
      <w:r>
        <w:rPr>
          <w:rFonts w:ascii="Times New Roman" w:cs="Times New Roman" w:eastAsia="Times New Roman" w:hAnsi="Times New Roman"/>
          <w:sz w:val="20"/>
          <w:szCs w:val="20"/>
          <w:u w:val="single" w:color="auto"/>
          <w:color w:val="0000FF"/>
        </w:rPr>
        <w:t>4.00</w:t>
      </w:r>
      <w:r>
        <w:rPr>
          <w:rFonts w:ascii="Times New Roman" w:cs="Times New Roman" w:eastAsia="Times New Roman" w:hAnsi="Times New Roman"/>
          <w:sz w:val="20"/>
          <w:szCs w:val="20"/>
          <w:color w:val="auto"/>
        </w:rPr>
        <w:t xml:space="preserve">% in respect of Term SOFR Loans, Alternative Currency Loans, Global Swing Line Loans and Letters of Credit, (ii) </w:t>
      </w:r>
      <w:r>
        <w:rPr>
          <w:rFonts w:ascii="Times New Roman" w:cs="Times New Roman" w:eastAsia="Times New Roman" w:hAnsi="Times New Roman"/>
          <w:sz w:val="20"/>
          <w:szCs w:val="20"/>
          <w:color w:val="FF0000"/>
          <w:strike w:val="1"/>
        </w:rPr>
        <w:t>2.00</w:t>
      </w:r>
      <w:r>
        <w:rPr>
          <w:rFonts w:ascii="Times New Roman" w:cs="Times New Roman" w:eastAsia="Times New Roman" w:hAnsi="Times New Roman"/>
          <w:sz w:val="20"/>
          <w:szCs w:val="20"/>
          <w:u w:val="single" w:color="auto"/>
          <w:color w:val="0000FF"/>
        </w:rPr>
        <w:t>3.00</w:t>
      </w:r>
      <w:r>
        <w:rPr>
          <w:rFonts w:ascii="Times New Roman" w:cs="Times New Roman" w:eastAsia="Times New Roman" w:hAnsi="Times New Roman"/>
          <w:sz w:val="20"/>
          <w:szCs w:val="20"/>
          <w:color w:val="auto"/>
        </w:rPr>
        <w:t>% in respect of Base Rate Loans and (iii) 0.250% in respect of the Commitment Fee.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0" w:name="page181"/>
    <w:bookmarkEnd w:id="180"/>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Applicable Time</w:t>
      </w:r>
      <w:r>
        <w:rPr>
          <w:rFonts w:ascii="Times New Roman" w:cs="Times New Roman" w:eastAsia="Times New Roman" w:hAnsi="Times New Roman"/>
          <w:sz w:val="20"/>
          <w:szCs w:val="20"/>
          <w:color w:val="auto"/>
        </w:rPr>
        <w:t>” means, with respect to any Borrowings and payments in any Alternative Currency, the local time in the place of settlement for such Alternative Currency as may be determined by the Administrative Agent or the L/C Issuer, as the case may be, to be necessary for timely settlement on the relevant date in accordance with normal banking procedures in the place of payment.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Appropriate Lender</w:t>
      </w:r>
      <w:r>
        <w:rPr>
          <w:rFonts w:ascii="Times New Roman" w:cs="Times New Roman" w:eastAsia="Times New Roman" w:hAnsi="Times New Roman"/>
          <w:sz w:val="20"/>
          <w:szCs w:val="20"/>
          <w:color w:val="auto"/>
        </w:rPr>
        <w:t xml:space="preserve">” means, at any time, (a) with respect to a Facility, a Lender that has a Commitment with respect to such Facility or holds a Loan under such Facility at such time; (b) with respect to the Letter of Credit Sublimit, (i) the L/C Issuer and (ii) if any Letters of Credit have been issued pursuant to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the U.S. Revolving Credit Lenders; (c) with respect to the U.S. Swing Line Sublimit, (i) the U.S. Swing Line Lender and (ii) if any U.S.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xml:space="preserve">, the U.S. Revolving Credit Lenders; and (d) with respect to the Global Swing Line Sublimit, (i) the Global Swing Line Lender and (ii) if any Global Swing Line Loans are outstanding pursuant to </w:t>
      </w:r>
      <w:r>
        <w:rPr>
          <w:rFonts w:ascii="Times New Roman" w:cs="Times New Roman" w:eastAsia="Times New Roman" w:hAnsi="Times New Roman"/>
          <w:sz w:val="20"/>
          <w:szCs w:val="20"/>
          <w:u w:val="single" w:color="auto"/>
          <w:color w:val="auto"/>
        </w:rPr>
        <w:t>Section 2.04(a)</w:t>
      </w:r>
      <w:r>
        <w:rPr>
          <w:rFonts w:ascii="Times New Roman" w:cs="Times New Roman" w:eastAsia="Times New Roman" w:hAnsi="Times New Roman"/>
          <w:sz w:val="20"/>
          <w:szCs w:val="20"/>
          <w:color w:val="auto"/>
        </w:rPr>
        <w:t>, the Global Revolving Credit Lenders.</w:t>
      </w:r>
    </w:p>
    <w:p>
      <w:pPr>
        <w:spacing w:after="0" w:line="18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Approved Fund</w:t>
      </w:r>
      <w:r>
        <w:rPr>
          <w:rFonts w:ascii="Times New Roman" w:cs="Times New Roman" w:eastAsia="Times New Roman" w:hAnsi="Times New Roman"/>
          <w:sz w:val="20"/>
          <w:szCs w:val="20"/>
          <w:color w:val="auto"/>
        </w:rPr>
        <w:t>” means any Fund that is administered or managed by (a) a Lender, (b) an Affiliate or branch of a Lender or (c) an entity or an Affiliate of an entity that administers or manages a Lender.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Arrangers</w:t>
      </w:r>
      <w:r>
        <w:rPr>
          <w:rFonts w:ascii="Times New Roman" w:cs="Times New Roman" w:eastAsia="Times New Roman" w:hAnsi="Times New Roman"/>
          <w:sz w:val="20"/>
          <w:szCs w:val="20"/>
          <w:color w:val="auto"/>
        </w:rPr>
        <w:t>” means, collectively, BofA Securities, Inc. (or any other registered broker-dealer wholly-owned by Bank of America Corporation to which all or substantially all of Bank of America Corporation’s or any of its subsidiaries’ investment banking, commercial lending services or related businesses may be transferred following the date of this Agreement), Wells Fargo Securities, LLC, and Citizens Bank, N.A. each in its capacity as joint lead arranger and joint bookrunner.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“Asset Sale Prepayment Amount</w:t>
      </w:r>
      <w:r>
        <w:rPr>
          <w:rFonts w:ascii="Times New Roman" w:cs="Times New Roman" w:eastAsia="Times New Roman" w:hAnsi="Times New Roman"/>
          <w:sz w:val="20"/>
          <w:szCs w:val="20"/>
          <w:u w:val="single" w:color="auto"/>
          <w:color w:val="008000"/>
        </w:rPr>
        <w:t>” has the meaning specified in Section</w:t>
      </w:r>
      <w:r>
        <w:rPr>
          <w:rFonts w:ascii="Times New Roman" w:cs="Times New Roman" w:eastAsia="Times New Roman" w:hAnsi="Times New Roman"/>
          <w:sz w:val="20"/>
          <w:szCs w:val="20"/>
          <w:u w:val="single" w:color="auto"/>
          <w:color w:val="0000FF"/>
        </w:rPr>
        <w:t xml:space="preserve"> 2.06(b)(iii).</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Assignee Group</w:t>
      </w:r>
      <w:r>
        <w:rPr>
          <w:rFonts w:ascii="Times New Roman" w:cs="Times New Roman" w:eastAsia="Times New Roman" w:hAnsi="Times New Roman"/>
          <w:sz w:val="20"/>
          <w:szCs w:val="20"/>
          <w:color w:val="auto"/>
        </w:rPr>
        <w:t>” means two or more Eligible Assignees that are Affiliates of one another or two or more Approved Funds managed by the same investment advisor.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means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(including an electronic documentation form generated by use of an electronic platform) approved by the Administrative Agent.</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Attributable Indebtedness</w:t>
      </w:r>
      <w:r>
        <w:rPr>
          <w:rFonts w:ascii="Times New Roman" w:cs="Times New Roman" w:eastAsia="Times New Roman" w:hAnsi="Times New Roman"/>
          <w:sz w:val="20"/>
          <w:szCs w:val="20"/>
          <w:color w:val="auto"/>
        </w:rPr>
        <w:t>” means, on any date, in respect of any Capital Lease of any Person, the capitalized amount thereof that would appear on a balance sheet of such Person prepared as of such date in accordance with GAAP.</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means the audited consolidated balance sheet of the Company and its Subsidiaries for the fiscal year ended June 30, 2021, and the related consolidated statements of comprehensive income, stockholders’ equity and cash flows for such fiscal year of the Company and its Subsidiaries, including the notes thereto, audited by Ernst &amp; Young LLP, independent auditors.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Auditor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Period</w:t>
      </w:r>
      <w:r>
        <w:rPr>
          <w:rFonts w:ascii="Times New Roman" w:cs="Times New Roman" w:eastAsia="Times New Roman" w:hAnsi="Times New Roman"/>
          <w:sz w:val="20"/>
          <w:szCs w:val="20"/>
          <w:color w:val="auto"/>
        </w:rPr>
        <w:t>” means, in respect of the Revolving Facility, the period from and including the Closing Date to the earliest of (a) the Maturity Date, (b) the date of termination of the Revolving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both"/>
        <w:spacing w:after="0" w:line="269" w:lineRule="auto"/>
        <w:rPr>
          <w:sz w:val="20"/>
          <w:szCs w:val="20"/>
          <w:color w:val="auto"/>
        </w:rPr>
      </w:pPr>
      <w:r>
        <w:rPr>
          <w:rFonts w:ascii="Times New Roman" w:cs="Times New Roman" w:eastAsia="Times New Roman" w:hAnsi="Times New Roman"/>
          <w:sz w:val="20"/>
          <w:szCs w:val="20"/>
          <w:color w:val="auto"/>
        </w:rPr>
        <w:t xml:space="preserve">Commitments pursuant to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and (c) the date of termination of the commitment of each Revolving Lender to make Revolving Loans and of the obligation of the L/C Issuer to make L/C Credit Extensions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Bank of America</w:t>
      </w:r>
      <w:r>
        <w:rPr>
          <w:rFonts w:ascii="Times New Roman" w:cs="Times New Roman" w:eastAsia="Times New Roman" w:hAnsi="Times New Roman"/>
          <w:sz w:val="20"/>
          <w:szCs w:val="20"/>
          <w:color w:val="auto"/>
        </w:rPr>
        <w:t>” means Bank of America, N.A. and its successors.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w:t>
      </w:r>
      <w:r>
        <w:rPr>
          <w:rFonts w:ascii="Times New Roman" w:cs="Times New Roman" w:eastAsia="Times New Roman" w:hAnsi="Times New Roman"/>
          <w:sz w:val="20"/>
          <w:szCs w:val="20"/>
          <w:color w:val="auto"/>
        </w:rPr>
        <w:t xml:space="preserve">” means for any day a fluctuating rate of interest per annum equal to the highest of (a) the Federal Funds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1/2 of 1%, (b) the rate of interest in effect for such day as publicly announced from time to time by Bank of America as its “prime rate,” and (c) Term SOFR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xml:space="preserve"> hereof, then the Base Rate shall be the greater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and shall be determined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above.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Committed Loan</w:t>
      </w:r>
      <w:r>
        <w:rPr>
          <w:rFonts w:ascii="Times New Roman" w:cs="Times New Roman" w:eastAsia="Times New Roman" w:hAnsi="Times New Roman"/>
          <w:sz w:val="20"/>
          <w:szCs w:val="20"/>
          <w:color w:val="auto"/>
        </w:rPr>
        <w:t>” means a Committed Loan that is a Base Rate Loan.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Base Rate Loan</w:t>
      </w:r>
      <w:r>
        <w:rPr>
          <w:rFonts w:ascii="Times New Roman" w:cs="Times New Roman" w:eastAsia="Times New Roman" w:hAnsi="Times New Roman"/>
          <w:sz w:val="20"/>
          <w:szCs w:val="20"/>
          <w:color w:val="auto"/>
        </w:rPr>
        <w:t>” means a Loan that bears interest based on the Base Rate. All Base Rate Loans shall be denominated in Dollars.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xml:space="preserve">” each has the meaning specified in the </w:t>
      </w:r>
      <w:r>
        <w:rPr>
          <w:rFonts w:ascii="Times New Roman" w:cs="Times New Roman" w:eastAsia="Times New Roman" w:hAnsi="Times New Roman"/>
          <w:sz w:val="20"/>
          <w:szCs w:val="20"/>
          <w:u w:val="single" w:color="auto"/>
          <w:color w:val="auto"/>
        </w:rPr>
        <w:t>introductory paragraph</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Borrowing</w:t>
      </w:r>
      <w:r>
        <w:rPr>
          <w:rFonts w:ascii="Times New Roman" w:cs="Times New Roman" w:eastAsia="Times New Roman" w:hAnsi="Times New Roman"/>
          <w:sz w:val="20"/>
          <w:szCs w:val="20"/>
          <w:color w:val="auto"/>
        </w:rPr>
        <w:t>” means a Committed Borrowing or a Swing Line Borrowing, as the context may require.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2" w:name="page183"/>
    <w:bookmarkEnd w:id="182"/>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159" w:lineRule="exact"/>
        <w:rPr>
          <w:sz w:val="20"/>
          <w:szCs w:val="20"/>
          <w:color w:val="auto"/>
        </w:rPr>
      </w:pPr>
    </w:p>
    <w:p>
      <w:pPr>
        <w:jc w:val="both"/>
        <w:ind w:left="760" w:firstLine="745"/>
        <w:spacing w:after="0" w:line="246"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Euro or a Global Swing Line Loan (Euro), any fundings, disbursements, settlements and payments in Euro in respect of any such Alternative Currency Loan or Global Swing Line Loan (Euro), as applicable, or any other dealings in Euro to be carried out pursuant to this Agreement in respect of any such Alternative Currency Loan or Global Swing Line Loan (Euro), as applicable, means a Business Day that is also a TARGET Day;</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interest rate settings as to an Alternative Currency Loan denominated in Sterling or a Global Swing Line Loan (Sterling), means a day other than a day banks are closed for general business in London because such day is a Saturday, Sunday or a legal holiday under the laws of the United Kingdom;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190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day relates to any fundings, disbursements, settlements and payments in a currency other than Euro or Sterling in respect of an Alternative Currency Loan denominated in a currency other than Euro or Sterling, or any other dealings in any currency other than Euro or Sterling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w:t>
      </w:r>
      <w:r>
        <w:rPr>
          <w:rFonts w:ascii="Times New Roman" w:cs="Times New Roman" w:eastAsia="Times New Roman" w:hAnsi="Times New Roman"/>
          <w:sz w:val="20"/>
          <w:szCs w:val="20"/>
          <w:color w:val="auto"/>
        </w:rPr>
        <w:t xml:space="preserve">” means the exchange of the Lenders’ interests provided for in </w:t>
      </w:r>
      <w:r>
        <w:rPr>
          <w:rFonts w:ascii="Times New Roman" w:cs="Times New Roman" w:eastAsia="Times New Roman" w:hAnsi="Times New Roman"/>
          <w:sz w:val="20"/>
          <w:szCs w:val="20"/>
          <w:u w:val="single" w:color="auto"/>
          <w:color w:val="auto"/>
        </w:rPr>
        <w:t>Section 8.04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Exchange Date</w:t>
      </w:r>
      <w:r>
        <w:rPr>
          <w:rFonts w:ascii="Times New Roman" w:cs="Times New Roman" w:eastAsia="Times New Roman" w:hAnsi="Times New Roman"/>
          <w:sz w:val="20"/>
          <w:szCs w:val="20"/>
          <w:color w:val="auto"/>
        </w:rPr>
        <w:t xml:space="preserve">” means the date on which any Event of Default referred to in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shall occur.</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CAM Percentage</w:t>
      </w:r>
      <w:r>
        <w:rPr>
          <w:rFonts w:ascii="Times New Roman" w:cs="Times New Roman" w:eastAsia="Times New Roman" w:hAnsi="Times New Roman"/>
          <w:sz w:val="20"/>
          <w:szCs w:val="20"/>
          <w:color w:val="auto"/>
        </w:rPr>
        <w:t>” means, as to each Lender, a fraction, expressed as a decimal, of which (a) the numerator shall be the aggregate Dollar amount of the Designated Obligations owed to such Lender (whether or not at the time due and payable) immediately prior to the CAM Exchange Date and (b) the denominator shall be the aggregate amount of the Designated Obligations owed to all the Lenders (whether or not at the time due and payable) immediately prior to the CAM Exchange Date.</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Anti-Money Laundering Legislation</w:t>
      </w:r>
      <w:r>
        <w:rPr>
          <w:rFonts w:ascii="Times New Roman" w:cs="Times New Roman" w:eastAsia="Times New Roman" w:hAnsi="Times New Roman"/>
          <w:sz w:val="20"/>
          <w:szCs w:val="20"/>
          <w:color w:val="auto"/>
        </w:rPr>
        <w:t>” means the Criminal Code (Canada), the Proceeds of Crime (Money Laundering) and Terrorist Financing Act (Canada) and the United Nations Act (Canada), and any regulations thereunder.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Dollars</w:t>
      </w:r>
      <w:r>
        <w:rPr>
          <w:rFonts w:ascii="Times New Roman" w:cs="Times New Roman" w:eastAsia="Times New Roman" w:hAnsi="Times New Roman"/>
          <w:sz w:val="20"/>
          <w:szCs w:val="20"/>
          <w:color w:val="auto"/>
        </w:rPr>
        <w:t>” means the lawful currency of Canada.</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Canadian Borrower</w:t>
      </w:r>
      <w:r>
        <w:rPr>
          <w:rFonts w:ascii="Times New Roman" w:cs="Times New Roman" w:eastAsia="Times New Roman" w:hAnsi="Times New Roman"/>
          <w:sz w:val="20"/>
          <w:szCs w:val="20"/>
          <w:color w:val="auto"/>
        </w:rPr>
        <w:t>” means a Designated Foreign Borrower organized or existing under the laws of Canada or one of the provinces or territories of Canada.</w:t>
      </w:r>
    </w:p>
    <w:p>
      <w:pPr>
        <w:spacing w:after="0" w:line="155"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Prime Rate</w:t>
      </w:r>
      <w:r>
        <w:rPr>
          <w:rFonts w:ascii="Times New Roman" w:cs="Times New Roman" w:eastAsia="Times New Roman" w:hAnsi="Times New Roman"/>
          <w:sz w:val="22"/>
          <w:szCs w:val="22"/>
          <w:color w:val="auto"/>
        </w:rPr>
        <w:t xml:space="preserve">” means, for any day a fluctuating rate of interest per annum equal to the greater of (a) the per annum rate of interest quoted or established as the “prime rate” of the Administrative Agent which it quotes or establishes for such day as its reference rate of interest in order to determine interest rates for commercial loans made by it in Canadian Dollars in Canada to its Canadian borrowers; and (b) the average CDOR Rate for a 30-day term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½ of 1% per annum, adjusted automatically with each quoted or established change in such rate, all without the necessity of any notice to any Borrower or any other Person. Such prime rate is based on various factors including cost and desired return, general economic conditions and other factors, and 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both"/>
        <w:spacing w:after="0" w:line="258" w:lineRule="auto"/>
        <w:rPr>
          <w:sz w:val="20"/>
          <w:szCs w:val="20"/>
          <w:color w:val="auto"/>
        </w:rPr>
      </w:pPr>
      <w:r>
        <w:rPr>
          <w:rFonts w:ascii="Times New Roman" w:cs="Times New Roman" w:eastAsia="Times New Roman" w:hAnsi="Times New Roman"/>
          <w:sz w:val="22"/>
          <w:szCs w:val="22"/>
          <w:color w:val="auto"/>
        </w:rPr>
        <w:t>used as a reference point for pricing some loans, which may be priced at, above, or below such announced rate. Any change in the prime rate shall take effect at the opening of business on the day specified in the public announcement of such change.</w:t>
      </w:r>
    </w:p>
    <w:p>
      <w:pPr>
        <w:spacing w:after="0" w:line="16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Lease</w:t>
      </w:r>
      <w:r>
        <w:rPr>
          <w:rFonts w:ascii="Times New Roman" w:cs="Times New Roman" w:eastAsia="Times New Roman" w:hAnsi="Times New Roman"/>
          <w:sz w:val="20"/>
          <w:szCs w:val="20"/>
          <w:color w:val="auto"/>
        </w:rPr>
        <w:t xml:space="preserve">” means, with respect to any Person, as of any date of determination, any lease of any property by such Person that has been or is required to be, in accordance with GAAP (subject to </w:t>
      </w:r>
      <w:r>
        <w:rPr>
          <w:rFonts w:ascii="Times New Roman" w:cs="Times New Roman" w:eastAsia="Times New Roman" w:hAnsi="Times New Roman"/>
          <w:sz w:val="20"/>
          <w:szCs w:val="20"/>
          <w:u w:val="single" w:color="auto"/>
          <w:color w:val="auto"/>
        </w:rPr>
        <w:t>Section 1.03(b)</w:t>
      </w:r>
      <w:r>
        <w:rPr>
          <w:rFonts w:ascii="Times New Roman" w:cs="Times New Roman" w:eastAsia="Times New Roman" w:hAnsi="Times New Roman"/>
          <w:sz w:val="20"/>
          <w:szCs w:val="20"/>
          <w:color w:val="auto"/>
        </w:rPr>
        <w:t>), recorded, classified and accounted for as a capitalized lease.</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Collateralize</w:t>
      </w:r>
      <w:r>
        <w:rPr>
          <w:rFonts w:ascii="Times New Roman" w:cs="Times New Roman" w:eastAsia="Times New Roman" w:hAnsi="Times New Roman"/>
          <w:sz w:val="20"/>
          <w:szCs w:val="20"/>
          <w:color w:val="auto"/>
        </w:rPr>
        <w:t>” means to pledge and deposit with or deliver to the Administrative Agent, for the benefit of the Administrative Agent, L/C Issuer, U.S. Swing Line Lender or Global Swing Line Lender (as applicable) and the Lenders, as collateral for L/C Obligations, Obligations in respect of Swing Line Loans, or obligations of Lenders to fund participations in respect of either thereof (as the context may require), cash or deposit account balances or, if the L/C Issuer or a Swing Line Lender benefitting from such collateral shall agree in its sole discretion, other credit support, in each case pursuant to documentation in form and substance satisfactory to (a) the Administrative Agent and (b) the L/C Issuer, the U.S. Swing Line Lender or the Global Swing Line Lender (as applicable). “</w:t>
      </w:r>
      <w:r>
        <w:rPr>
          <w:rFonts w:ascii="Times New Roman" w:cs="Times New Roman" w:eastAsia="Times New Roman" w:hAnsi="Times New Roman"/>
          <w:sz w:val="20"/>
          <w:szCs w:val="20"/>
          <w:u w:val="single" w:color="auto"/>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Cash Equivalents</w:t>
      </w:r>
      <w:r>
        <w:rPr>
          <w:rFonts w:ascii="Times New Roman" w:cs="Times New Roman" w:eastAsia="Times New Roman" w:hAnsi="Times New Roman"/>
          <w:sz w:val="21"/>
          <w:szCs w:val="21"/>
          <w:color w:val="auto"/>
        </w:rPr>
        <w:t>” means any of the following types of Investments, to the extent owned by the Company or any of 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Subsidiaries free and clear of all Liens (other than Permitted Liens, including Liens created under the Collateral Documents):</w:t>
      </w:r>
    </w:p>
    <w:p>
      <w:pPr>
        <w:spacing w:after="0" w:line="74" w:lineRule="exact"/>
        <w:rPr>
          <w:sz w:val="20"/>
          <w:szCs w:val="20"/>
          <w:color w:val="auto"/>
        </w:rPr>
      </w:pPr>
    </w:p>
    <w:p>
      <w:pPr>
        <w:ind w:left="760" w:right="40" w:firstLine="745"/>
        <w:spacing w:after="0" w:line="258"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Dollars, Euro, Sterling, Australian dollars, Swiss francs, Canadian Dollars, Japanese yen or such other currencies held by it from time to time in the ordinary course of business;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6"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readily marketable obligations issued or directly and fully guaranteed or insured by the government or any agency or instrumentality of (i) the United States, (ii) the United Kingdom or (iii) any member nation of the European Union rated A-2 (or the equivalent thereof) or better by S&amp;P or P-2 (or the equivalent thereof) or better by Moody’s, having average maturities of not more than 12 months from the date of acquisition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full faith and credit of the United States, the United Kingdom or such member nation of the European Union is pledged in support thereof;</w:t>
      </w:r>
    </w:p>
    <w:p>
      <w:pPr>
        <w:spacing w:after="0" w:line="181"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time deposits or demand deposits with, or insured certificates of deposit or bankers’ acceptances of, any commercial bank that (i) is a Lender or (ii) has combined capital and surplus and undivided profits of not less than $500,000,000 (or the Dollar Equivalent as of the date of determination) (any such bank, an “</w:t>
      </w:r>
      <w:r>
        <w:rPr>
          <w:rFonts w:ascii="Times New Roman" w:cs="Times New Roman" w:eastAsia="Times New Roman" w:hAnsi="Times New Roman"/>
          <w:sz w:val="22"/>
          <w:szCs w:val="22"/>
          <w:u w:val="single" w:color="auto"/>
          <w:color w:val="auto"/>
        </w:rPr>
        <w:t>Approved Bank</w:t>
      </w:r>
      <w:r>
        <w:rPr>
          <w:rFonts w:ascii="Times New Roman" w:cs="Times New Roman" w:eastAsia="Times New Roman" w:hAnsi="Times New Roman"/>
          <w:sz w:val="22"/>
          <w:szCs w:val="22"/>
          <w:color w:val="auto"/>
        </w:rPr>
        <w:t>”), in each case with average maturities of not more than 12 months from the date of acquisition thereof;</w:t>
      </w:r>
    </w:p>
    <w:p>
      <w:pPr>
        <w:spacing w:after="0" w:line="180"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and variable or fixed rate notes issued by an Approved Bank (or by the parent company thereof) or any variable or fixed rate note issued by, or guaranteed by, a Person rated A-2 (or the equivalent thereof) or better by S&amp;P or P-2 (or the equivalent thereof) or better by Moody’s, in each case with average maturities of not more than 12 months from the date of acquisition thereof;</w:t>
      </w:r>
    </w:p>
    <w:p>
      <w:pPr>
        <w:spacing w:after="0" w:line="180" w:lineRule="exact"/>
        <w:rPr>
          <w:rFonts w:ascii="Times New Roman" w:cs="Times New Roman" w:eastAsia="Times New Roman" w:hAnsi="Times New Roman"/>
          <w:sz w:val="22"/>
          <w:szCs w:val="22"/>
          <w:color w:val="auto"/>
        </w:rPr>
      </w:pPr>
    </w:p>
    <w:p>
      <w:pPr>
        <w:ind w:left="760" w:right="60" w:firstLine="745"/>
        <w:spacing w:after="0" w:line="258" w:lineRule="auto"/>
        <w:tabs>
          <w:tab w:leader="none" w:pos="1941"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 agreements entered into by any Person with an Approved Bank, in each case, for direct obligations issued by or fully guaranteed or insured by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jc w:val="both"/>
        <w:ind w:left="760"/>
        <w:spacing w:after="0" w:line="238" w:lineRule="auto"/>
        <w:rPr>
          <w:sz w:val="20"/>
          <w:szCs w:val="20"/>
          <w:color w:val="auto"/>
        </w:rPr>
      </w:pPr>
      <w:r>
        <w:rPr>
          <w:rFonts w:ascii="Times New Roman" w:cs="Times New Roman" w:eastAsia="Times New Roman" w:hAnsi="Times New Roman"/>
          <w:sz w:val="22"/>
          <w:szCs w:val="22"/>
          <w:color w:val="auto"/>
        </w:rPr>
        <w:t>government or any agency or instrumentality of (i) the United States, (ii) the United Kingdom or (iii) any member nation of the European Union rated A-2 (or the equivalent thereof) or better by S&amp;P and P-2 (or the equivalent thereof) or better by Moody’s, in which such Person shall have a perfected first priority security interest (subject to no other Liens) and having, on the date of purchase thereof, a Fair Market Value of at least 100% of the amount of the repurchase obligations;</w:t>
      </w:r>
    </w:p>
    <w:p>
      <w:pPr>
        <w:spacing w:after="0" w:line="177" w:lineRule="exact"/>
        <w:rPr>
          <w:sz w:val="20"/>
          <w:szCs w:val="20"/>
          <w:color w:val="auto"/>
        </w:rPr>
      </w:pPr>
    </w:p>
    <w:p>
      <w:pPr>
        <w:jc w:val="both"/>
        <w:ind w:left="760" w:firstLine="745"/>
        <w:spacing w:after="0" w:line="253" w:lineRule="auto"/>
        <w:tabs>
          <w:tab w:leader="none" w:pos="1941"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marketable short-term money market and similar highly liquid funds either (i) having combined capital and surplus and undivided profits of not less than $500,000,000 (or the Dollar Equivalent as of the date of determination) or</w:t>
      </w:r>
    </w:p>
    <w:p>
      <w:pPr>
        <w:jc w:val="both"/>
        <w:ind w:left="760" w:hanging="3"/>
        <w:spacing w:after="0" w:line="235" w:lineRule="auto"/>
        <w:tabs>
          <w:tab w:leader="none" w:pos="108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having a rating of at least A-2 or P-2 from either S&amp;P or Moody’s (or, if at any time neither S&amp;P nor Moody’s shall be rating such obligations, an equivalent rating from another nationally recognized rating service), in each case, maturing within 12 months after the date of creation thereof;</w:t>
      </w:r>
    </w:p>
    <w:p>
      <w:pPr>
        <w:spacing w:after="0" w:line="177"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94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with average maturities of 12 months or less from the date of acquisition issued or fully guaranteed by any state, commonwealth or territory of the United States, or by any political subdivision or taxing authority of any such state, commonwealth or territory having an investment grade rating from either S&amp;P or Moody’s (or the equivalent thereof);</w:t>
      </w:r>
    </w:p>
    <w:p>
      <w:pPr>
        <w:spacing w:after="0" w:line="180" w:lineRule="exact"/>
        <w:rPr>
          <w:rFonts w:ascii="Times New Roman" w:cs="Times New Roman" w:eastAsia="Times New Roman" w:hAnsi="Times New Roman"/>
          <w:sz w:val="22"/>
          <w:szCs w:val="22"/>
          <w:color w:val="auto"/>
        </w:rPr>
      </w:pPr>
    </w:p>
    <w:p>
      <w:pPr>
        <w:ind w:left="760" w:firstLine="745"/>
        <w:spacing w:after="0" w:line="258" w:lineRule="auto"/>
        <w:tabs>
          <w:tab w:leader="none" w:pos="194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with average maturities of 12 months or less from the date of acquisition in mutual funds rated A (or the equivalent thereof) or better by S&amp;P or A2 (or the equivalent thereof) or better by Moody’s;</w:t>
      </w:r>
    </w:p>
    <w:p>
      <w:pPr>
        <w:spacing w:after="0" w:line="158" w:lineRule="exact"/>
        <w:rPr>
          <w:rFonts w:ascii="Times New Roman" w:cs="Times New Roman" w:eastAsia="Times New Roman" w:hAnsi="Times New Roman"/>
          <w:sz w:val="22"/>
          <w:szCs w:val="22"/>
          <w:color w:val="auto"/>
        </w:rPr>
      </w:pPr>
    </w:p>
    <w:p>
      <w:pPr>
        <w:jc w:val="both"/>
        <w:ind w:left="760" w:right="20" w:firstLine="745"/>
        <w:spacing w:after="0" w:line="244" w:lineRule="auto"/>
        <w:tabs>
          <w:tab w:leader="none" w:pos="1941"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Foreign Subsidiary, liquid investments made by such Foreign Subsidiary in the ordinary course of managing its surplus cash position in investments of comparable terms and credit quality as those described in clauses (a) through (h) above.</w:t>
      </w:r>
    </w:p>
    <w:p>
      <w:pPr>
        <w:spacing w:after="0" w:line="178" w:lineRule="exact"/>
        <w:rPr>
          <w:sz w:val="20"/>
          <w:szCs w:val="20"/>
          <w:color w:val="auto"/>
        </w:rPr>
      </w:pPr>
    </w:p>
    <w:p>
      <w:pPr>
        <w:jc w:val="both"/>
        <w:ind w:firstLine="825"/>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Agreement</w:t>
      </w:r>
      <w:r>
        <w:rPr>
          <w:rFonts w:ascii="Times New Roman" w:cs="Times New Roman" w:eastAsia="Times New Roman" w:hAnsi="Times New Roman"/>
          <w:sz w:val="20"/>
          <w:szCs w:val="20"/>
          <w:color w:val="auto"/>
        </w:rPr>
        <w:t>” means any agreement and other arrangement to provide cash management services, including treasury, depository, overdraft, credit or debit card, electronic funds transfer, cash pooling arrangements, netting services and other cash management or treasury arrangements.</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Cash Management Bank</w:t>
      </w:r>
      <w:r>
        <w:rPr>
          <w:rFonts w:ascii="Times New Roman" w:cs="Times New Roman" w:eastAsia="Times New Roman" w:hAnsi="Times New Roman"/>
          <w:sz w:val="20"/>
          <w:szCs w:val="20"/>
          <w:color w:val="auto"/>
        </w:rPr>
        <w:t>” means any Person that (a) has entered into a Cash Management Agreement with any Loan Party or any Subsidiary of a Loan Party prior to the Closing Date, if (i) such Person is a Lender or an Affiliate or branch of a Lender, in its capacity as a party to such Cash Management Agreement, as of the Closing Date and (ii) such Cash Management Agreement was a Secured Cash Management Agreement pursuant to the Existing Credit Agreement; or (b) enters into a Cash Management Agreement with any Loan Party or any Subsidiary of a Loan Party on or after the Closing Date, if such Person is a Lender or an Affiliate or branch of a Lender, in its capacity as a party to such Cash Management Agreement, at the time it enters into such Cash Management Agreement.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CDOR</w:t>
      </w:r>
      <w:r>
        <w:rPr>
          <w:rFonts w:ascii="Times New Roman" w:cs="Times New Roman" w:eastAsia="Times New Roman" w:hAnsi="Times New Roman"/>
          <w:sz w:val="20"/>
          <w:szCs w:val="20"/>
          <w:color w:val="auto"/>
        </w:rPr>
        <w:t>” has the meaning specified in clause (b) of the “Alternative Currency Term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in Law</w:t>
      </w:r>
      <w:r>
        <w:rPr>
          <w:rFonts w:ascii="Times New Roman" w:cs="Times New Roman" w:eastAsia="Times New Roman" w:hAnsi="Times New Roman"/>
          <w:sz w:val="20"/>
          <w:szCs w:val="20"/>
          <w:color w:val="auto"/>
        </w:rPr>
        <w:t>”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5" w:name="page186"/>
    <w:bookmarkEnd w:id="185"/>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Governmental Authority or (c) the making or issuance of any request, rule, guideline or directive (whether or not having the force of law) by any Governmental Authority;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or CRD IV, shall in each case be deemed to be a “Change in Law”, regardless of the date enacted, adopted or issued.</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means an event or series of events by which an event or series of events by which any “person” or “group” becomes the “beneficial owner” directly or indirectly, of 40% or more of the combined voting power of all securities of the Company entitled to vote for members of the board of directors of the Company.</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purposes of this definition, including other defined terms used herein in connection with this definition and notwithstanding anything to the contrary in this definition or any provision of Section 13d-3 of the Exchange Act, (i) “beneficial ownership” shall be as defined in Rules 13(d)-3 and 13(d)-5 under the Exchange Act as in effect on the date hereof, (ii) the phrase Person or group is within the meaning of Section 13(d) or 14(d) of the Exchange Act, but excluding any employee benefit plan of such Person or group or its subsidiaries and any Person acting in its capacity as trustee, agent or other fiduciary or administrator of any such plan, and (iii) a Person or group shall not be deemed to beneficially own Equity Interests to be acquired by such Person or group pursuant to a stock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xml:space="preserve">” means the first date all the conditions precedent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are satisfied or waived in accordance with </w:t>
      </w:r>
      <w:r>
        <w:rPr>
          <w:rFonts w:ascii="Times New Roman" w:cs="Times New Roman" w:eastAsia="Times New Roman" w:hAnsi="Times New Roman"/>
          <w:sz w:val="20"/>
          <w:szCs w:val="20"/>
          <w:u w:val="single" w:color="auto"/>
          <w:color w:val="auto"/>
        </w:rPr>
        <w:t>Section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CME</w:t>
      </w:r>
      <w:r>
        <w:rPr>
          <w:rFonts w:ascii="Times New Roman" w:cs="Times New Roman" w:eastAsia="Times New Roman" w:hAnsi="Times New Roman"/>
          <w:sz w:val="20"/>
          <w:szCs w:val="20"/>
          <w:color w:val="auto"/>
        </w:rPr>
        <w:t>” means CME Group Benchmark Administration Limited.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w:t>
      </w:r>
      <w:r>
        <w:rPr>
          <w:rFonts w:ascii="Times New Roman" w:cs="Times New Roman" w:eastAsia="Times New Roman" w:hAnsi="Times New Roman"/>
          <w:sz w:val="20"/>
          <w:szCs w:val="20"/>
          <w:color w:val="auto"/>
        </w:rPr>
        <w:t>” means all of the “Collateral” or similar terms referred to in the Collateral Documents and all of the other property that is or is intended under the terms of the Collateral Documents to be subject to Liens in favor of the Administrative Agent for the benefit of the Secured Parties.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and Guarantee Requirement</w:t>
      </w:r>
      <w:r>
        <w:rPr>
          <w:rFonts w:ascii="Times New Roman" w:cs="Times New Roman" w:eastAsia="Times New Roman" w:hAnsi="Times New Roman"/>
          <w:sz w:val="20"/>
          <w:szCs w:val="20"/>
          <w:color w:val="auto"/>
        </w:rPr>
        <w:t>” means, at any time on and after the Closing Date, the requirement that:</w:t>
      </w:r>
    </w:p>
    <w:p>
      <w:pPr>
        <w:spacing w:after="0" w:line="216" w:lineRule="exact"/>
        <w:rPr>
          <w:sz w:val="20"/>
          <w:szCs w:val="20"/>
          <w:color w:val="auto"/>
        </w:rPr>
      </w:pPr>
    </w:p>
    <w:p>
      <w:pPr>
        <w:jc w:val="both"/>
        <w:ind w:firstLine="757"/>
        <w:spacing w:after="0" w:line="243" w:lineRule="auto"/>
        <w:tabs>
          <w:tab w:leader="none" w:pos="1145"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(i) from the Company and each Domestic Subsidiary (other than an Excluded Subsidiary), as applicable, (x) on the Closing Date, a counterpart of the Company Guaranty or the Subsidiary Guaranty, as applicable, duly executed and delivered on behalf of such Person and (y) in the case of any Person that becomes a Loan Party after the Closing Date (including by ceasing to be an Excluded Subsidiary), a supplement to the Subsidiary Guaranty, in the form specified therein, duly executed and delivered on behalf of such Person and (ii) from the Company and each Subsidiary Guarantor, as applicable, (x) on the Closing Date, a counterpart of the Security Agreement duly executed and delivered on behalf of such Person and (y) in the case of any Person that becomes a Loan Party after the Closing Date (including by ceasing to be an Excluded Subsidiary), a supplement to the Security Agreement, in the form specified therein, duly executed and delivered on behalf of such Person, together with, in the case of each of clauses (a)(i)(y) and (a)(ii)(y), documents of the type referred to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6" w:name="page187"/>
    <w:bookmarkEnd w:id="186"/>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4.01(a)(iv)</w:t>
      </w:r>
      <w:r>
        <w:rPr>
          <w:rFonts w:ascii="Times New Roman" w:cs="Times New Roman" w:eastAsia="Times New Roman" w:hAnsi="Times New Roman"/>
          <w:sz w:val="20"/>
          <w:szCs w:val="20"/>
          <w:color w:val="auto"/>
        </w:rPr>
        <w:t xml:space="preserve">, and, to the extent reasonably requested by the Administrative Agent, opinions of the type referred to in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57"/>
        <w:spacing w:after="0" w:line="243"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100% of the issued and outstanding Equity Interests of each Domestic Subsidiary (other than Equity Interests constituting Excluded Assets) directly owned by a Loan Party shall have been pledged pursuant to the Security Agreement and (ii) 65% of the issued and outstanding Equity Interests entitled to vote (within the meaning of Treas. Reg. Section 1.956-2(c)(2)) and 100% of the issued and outstanding Equity Interests not entitled to vote (within the meaning of Treas. Reg. Section 1.956-2(c)(2)) in each Foreign Subsidiary (other than Equity Interests constituting Excluded Assets) directly owned by a Loan Party shall have been pledged pursuant to the Security Agreement (and, in each of the foregoing cases, the Administrative Agent shall have received any certificates or other instruments representing such Equity Interests (other than any such Equity Interests in a Person that is not a Subsidiary of the Company), together with undated stock powers or other instruments of transfer with respect thereto endorsed in blank);</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Indebtedness for borrowed money of the Company or any Subsidiary in a principal amount of $5,000,000 or more is owing by such obligor to any Loan Party and such Indebtedness is evidenced by a promissory note, such promissory note shall have been pledged pursuant to the Security Agreement (and, to the extent required by the Security Agreement, the Administrative Agent shall have received all such promissory notes, together with undated instruments of transfer with respect thereto endorsed in blank); and</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145"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certificates, agreements, documents and instruments, including Uniform Commercial Code financing statements, required by the Security Agreement, applicable Law and reasonably requested by the Administrative Agent to be filed, delivered, registered or recorded to create the Liens intended to be created by the Collateral Documents and perfect such Liens to the extent required by, and with the priority required by, the Security Agreement and the other provisions of the term “Collateral and Guarantee Requirement,” shall have been filed, registered or recorded or delivered to the Administrative Agent for filing, registration or recording.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9"/>
          <w:szCs w:val="19"/>
          <w:color w:val="auto"/>
        </w:rPr>
        <w:t>Notwithstanding the foregoing provisions of this definition or anything in this Agreement or any other Loan Document to the contrary, (a) the foregoing provisions of this definition shall not require the creation, perfection (or reaffirmation) of pledges of or security interests in, or the obtaining of title insurance, surveys, legal opinions or other deliverables with respect to, particular assets of the Loan Parties, or the provision of Guaranties by any Subsidiary, if, and for so long as and to the extent that the Administrative Agent and the Company reasonably agree in writing that the cost of creating or perfecting (or reaffirming) such pledges or security interests in such assets, or obtaining such title insurance, surveys, legal opinions or other deliverables in respect of such assets, or providing such Guaranties (taking into account any adverse Tax consequences to the Company and its Subsidiaries (including the imposition of withholding or other material Taxes)), shall be excessive in relation to the benefits to be obtained by the Lenders therefrom, (b) Liens required to be granted from time to time pursuant to the term “Collateral and Guarantee Requirement” shall be subject to exceptions and limitations set forth in the Security Agreement as in effect on the Closing Date, (c) in no event shall control agreements or other control or similar arrangements be required with respect to deposit accounts, securities accounts, commodities accounts or other assets specifically requiring perfection by control agreements (other than certificated securities), (d) no perfection actions shall be required with respect to vehicles and other assets subject to certificates of title,</w:t>
      </w:r>
    </w:p>
    <w:p>
      <w:pPr>
        <w:spacing w:after="0" w:line="1" w:lineRule="exact"/>
        <w:rPr>
          <w:sz w:val="20"/>
          <w:szCs w:val="20"/>
          <w:color w:val="auto"/>
        </w:rPr>
      </w:pPr>
    </w:p>
    <w:p>
      <w:pPr>
        <w:jc w:val="both"/>
        <w:ind w:firstLine="8"/>
        <w:spacing w:after="0" w:line="241" w:lineRule="auto"/>
        <w:tabs>
          <w:tab w:leader="none" w:pos="283"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perfection actions shall be required with respect to commercial tort claims with a value less than $5,000,000 individually, and other than the filing of UCC financing statements no perfection shall be required with respect to promissory notes evidencing debt for borrowed money in a principal amount of less than $5,000,000 individually, (f) other than (i) as required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for any Designated Foreign Borrower and (ii) with respect to pledges of Equity Interests of Foreign Subsidiaries existing as of the Closing Date and set forth on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no actions in any non-U.S. jurisdiction or required by the laws of any non-U.S. jurisdiction shall be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7" w:name="page188"/>
    <w:bookmarkEnd w:id="187"/>
    <w:p>
      <w:pPr>
        <w:jc w:val="both"/>
        <w:spacing w:after="0" w:line="242" w:lineRule="auto"/>
        <w:rPr>
          <w:sz w:val="20"/>
          <w:szCs w:val="20"/>
          <w:color w:val="auto"/>
        </w:rPr>
      </w:pPr>
      <w:r>
        <w:rPr>
          <w:rFonts w:ascii="Times New Roman" w:cs="Times New Roman" w:eastAsia="Times New Roman" w:hAnsi="Times New Roman"/>
          <w:sz w:val="20"/>
          <w:szCs w:val="20"/>
          <w:color w:val="auto"/>
        </w:rPr>
        <w:t>required to be taken to create any security interests in assets located or titled outside of the United States (including any Equity Interests of Foreign Subsidiaries and any foreign Intellectual Property) or to perfect any security interests in any such assets, (g) no actions shall be required to perfect a security interest in letter of credit rights (other than the filing of UCC financing statements) with a value less than $5,000,000 individually, (h) no Loan Party shall be required to deliver or obtain any landlord lien waivers, estoppel certificates or collateral access agreements or letters, (i) no Loan Party shall be required to deliver or obtain a mortgage in respect of fee-owned or leased real property, (j) no actions shall be required to enter into any source code escrow arrangement or register any Intellectual Property and (k) in no event shall the Collateral include any Excluded Assets. The Administrative Agent may grant extensions of time or waivers for the creation and perfection of security interests in or the obtaining of title insurance, surveys, legal opinions or other deliverables with respect to particular assets or the provision of any Guarantee by any Subsidiary (including extensions beyond the Closing Date or in connection with assets acquired, or Subsidiaries formed or acquired, after the Closing Date) where it determines that such action cannot be accomplished without undue effort or expense by the time or times at which it would otherwise be required to be accomplished by this Agreement or the Collateral Documents.</w:t>
      </w:r>
    </w:p>
    <w:p>
      <w:pPr>
        <w:spacing w:after="0" w:line="187" w:lineRule="exact"/>
        <w:rPr>
          <w:sz w:val="20"/>
          <w:szCs w:val="20"/>
          <w:color w:val="auto"/>
        </w:rPr>
      </w:pPr>
    </w:p>
    <w:p>
      <w:pPr>
        <w:jc w:val="both"/>
        <w:ind w:firstLine="812"/>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means, collectively, the Security Agreement, the Intellectual Property Security Agreements, each of the collateral assignments, Security Agreement Supplements, security agreements, pledge agreements, or other similar agreements delivered to the Administrative Agent pursuant to the Collateral and Guarantee Requirement,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and each of the other agreements, instruments or documents that creates or purports to create a Lien in favor of the Administrative Agent for the benefit of the Secured Parties.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w:t>
      </w:r>
      <w:r>
        <w:rPr>
          <w:rFonts w:ascii="Times New Roman" w:cs="Times New Roman" w:eastAsia="Times New Roman" w:hAnsi="Times New Roman"/>
          <w:sz w:val="20"/>
          <w:szCs w:val="20"/>
          <w:color w:val="auto"/>
        </w:rPr>
        <w:t>” means a Revolving Commitment and/or a Term Commitment,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means the U.S. Commitment Fee and/or Global Commitment Fee, as the context may require.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Borrowing</w:t>
      </w:r>
      <w:r>
        <w:rPr>
          <w:rFonts w:ascii="Times New Roman" w:cs="Times New Roman" w:eastAsia="Times New Roman" w:hAnsi="Times New Roman"/>
          <w:sz w:val="20"/>
          <w:szCs w:val="20"/>
          <w:color w:val="auto"/>
        </w:rPr>
        <w:t>” means a U.S. Revolving Credit Borrowing, a Global Revolving Credit Borrowing or a Term Borrowing, as the context may require.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w:t>
      </w:r>
      <w:r>
        <w:rPr>
          <w:rFonts w:ascii="Times New Roman" w:cs="Times New Roman" w:eastAsia="Times New Roman" w:hAnsi="Times New Roman"/>
          <w:sz w:val="20"/>
          <w:szCs w:val="20"/>
          <w:color w:val="auto"/>
        </w:rPr>
        <w:t>” means a U.S. Revolving Credit Loan, a Global Revolving Credit Loan or a Term Loan, as the context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9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Committed Loan Notice</w:t>
      </w:r>
      <w:r>
        <w:rPr>
          <w:rFonts w:ascii="Times New Roman" w:cs="Times New Roman" w:eastAsia="Times New Roman" w:hAnsi="Times New Roman"/>
          <w:sz w:val="20"/>
          <w:szCs w:val="20"/>
          <w:color w:val="auto"/>
        </w:rPr>
        <w:t xml:space="preserve">” means a notice of (a) a Committed Borrowing, (b) a conversion of Committed Loans from one Type to the other, or (c) a continuation of Term SOFR Loans, pursuant to </w:t>
      </w:r>
      <w:r>
        <w:rPr>
          <w:rFonts w:ascii="Times New Roman" w:cs="Times New Roman" w:eastAsia="Times New Roman" w:hAnsi="Times New Roman"/>
          <w:sz w:val="20"/>
          <w:szCs w:val="20"/>
          <w:u w:val="single" w:color="auto"/>
          <w:color w:val="auto"/>
        </w:rPr>
        <w:t>Section 2.02(a)</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or delivered, as applicable, by a Responsible Officer of the Company.</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Communication</w:t>
      </w:r>
      <w:r>
        <w:rPr>
          <w:rFonts w:ascii="Times New Roman" w:cs="Times New Roman" w:eastAsia="Times New Roman" w:hAnsi="Times New Roman"/>
          <w:sz w:val="20"/>
          <w:szCs w:val="20"/>
          <w:color w:val="auto"/>
        </w:rPr>
        <w:t>” means this Agreement, any Loan Document and any document, amendment, approval, consent, information, notice, certificate, request, statement, disclosure or authorization related to any Loan Document.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introductory paragraph</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Guaranty</w:t>
      </w:r>
      <w:r>
        <w:rPr>
          <w:rFonts w:ascii="Times New Roman" w:cs="Times New Roman" w:eastAsia="Times New Roman" w:hAnsi="Times New Roman"/>
          <w:sz w:val="20"/>
          <w:szCs w:val="20"/>
          <w:color w:val="auto"/>
        </w:rPr>
        <w:t>” means the Third Amended and Restated Company Guaranty, dated as of the Closing Date and made by the Company in favor of the Administrative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8" w:name="page189"/>
    <w:bookmarkEnd w:id="188"/>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means a certificate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Conforming Changes</w:t>
      </w:r>
      <w:r>
        <w:rPr>
          <w:rFonts w:ascii="Times New Roman" w:cs="Times New Roman" w:eastAsia="Times New Roman" w:hAnsi="Times New Roman"/>
          <w:sz w:val="20"/>
          <w:szCs w:val="20"/>
          <w:color w:val="auto"/>
        </w:rPr>
        <w:t>” means, with respect to the use, administration of or any conventions associated with SOFR, SONIA, EURIBOR, CDOR, €STR or any proposed Successor Rate, as applicable, for an Agreed Currency, as applicable, any conforming changes to the definitions of “Base Rate”, “SOFR”, “SONIA”, “EURIBOR”, “CDOR” or “€STR”,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Agreed Currency (or, if the Administrative Agent determines that adoption of any portion of such market practice is not administratively feasible or that no market practice for the administration of such rate for such Agreed Currency exists, in such other manner of administration as the Administrative Agent determines is reasonably necessary in connection with the administration of this Agreement and any other Loan Document), in each case in consultation with the Company.</w:t>
      </w:r>
    </w:p>
    <w:p>
      <w:pPr>
        <w:spacing w:after="0" w:line="19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w:t>
      </w:r>
      <w:r>
        <w:rPr>
          <w:rFonts w:ascii="Times New Roman" w:cs="Times New Roman" w:eastAsia="Times New Roman" w:hAnsi="Times New Roman"/>
          <w:sz w:val="20"/>
          <w:szCs w:val="20"/>
          <w:color w:val="auto"/>
        </w:rPr>
        <w:t>” means, when used with reference to financial statements or financial statement items of the Company and its Subsidiaries or any other Person, such statements or items on a consolidated basis in accordance with the consolidation principles of GAAP.</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Assets</w:t>
      </w:r>
      <w:r>
        <w:rPr>
          <w:rFonts w:ascii="Times New Roman" w:cs="Times New Roman" w:eastAsia="Times New Roman" w:hAnsi="Times New Roman"/>
          <w:sz w:val="20"/>
          <w:szCs w:val="20"/>
          <w:color w:val="auto"/>
        </w:rPr>
        <w:t>” means, as of any date of determination, total assets of the Company and its Subsidiaries on a consolidated basis, as determined in accordance with GAAP.</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EBITDA</w:t>
      </w:r>
      <w:r>
        <w:rPr>
          <w:rFonts w:ascii="Times New Roman" w:cs="Times New Roman" w:eastAsia="Times New Roman" w:hAnsi="Times New Roman"/>
          <w:sz w:val="19"/>
          <w:szCs w:val="19"/>
          <w:color w:val="auto"/>
        </w:rPr>
        <w:t xml:space="preserve">” means, for any period, for the Company and its Subsidiaries on a consolidated basis, an amount equal to Consolidated Net Income (Net Loss) for such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(a) the following to the extent deducted in calculating such Consolidated Net Income (Net Loss) (and without duplication): (i) depreciation, depletion, if any, and amortization expense for such period; (ii) interest expense for such period; (iii) provision for taxes based on income, profits, revenue or capital, including federal, foreign, state, local and provincial income, franchise, excise, value added and similar taxes based on income, profits, revenue, gross receipts or capital and foreign withholding taxes paid or accrued during such period (including in respect of repatriated funds); (iv) other non-cash charges for such period;</w:t>
      </w:r>
    </w:p>
    <w:p>
      <w:pPr>
        <w:spacing w:after="0" w:line="1" w:lineRule="exact"/>
        <w:rPr>
          <w:sz w:val="20"/>
          <w:szCs w:val="20"/>
          <w:color w:val="auto"/>
        </w:rPr>
      </w:pPr>
    </w:p>
    <w:p>
      <w:pPr>
        <w:jc w:val="both"/>
        <w:ind w:firstLine="8"/>
        <w:spacing w:after="0" w:line="252" w:lineRule="auto"/>
        <w:tabs>
          <w:tab w:leader="none" w:pos="295"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non-cash restructuring charges and non-cash asset impairment charges; (vi) charges arising from adjustments to and finalization of any contingent payments which have been paid or are or will become payable in connection with any acquisition; (vii) reasonable and customary charges which arise from the existence and subsequent write-off of duplicative facilities directly related to an acquisition (including by way of merger or amalgamation) consummated by the Company or any Subsidiary (whether such facilities were owned or operated by the Company, such Subsidiary or the Person acquired); (viii) out-of-pocket third party costs and expenses (including any transaction or retention bonus or similar payment, earnout, contingent consideration or purchase price adjustment) incurred by the Company or any Subsidiary in such period in connection with acquisitions and dispositions, debt incurrences, repayments or amendments thereto, equity issuances or other strategic transactions (including transactions undertaken but not completed); (ix) any non-cash charges which result from any change in accounting principles or methods; (x) extraordinary, unusual or non-recurring items (including litigation related expenses and settlements);</w:t>
      </w:r>
    </w:p>
    <w:p>
      <w:pPr>
        <w:jc w:val="both"/>
        <w:ind w:right="20" w:firstLine="8"/>
        <w:spacing w:after="0" w:line="242" w:lineRule="auto"/>
        <w:tabs>
          <w:tab w:leader="none" w:pos="38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proceeds from business interruption insurance received by the Company or any of its Subsidiaries in such period in an amount representing the earnings for such period that such proceeds are intended to replace (to the extent (x) not reflected as revenue or income in Consolidated Net Income (Net Loss) and (y) that the related loss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9" w:name="page190"/>
    <w:bookmarkEnd w:id="189"/>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was deducted (and not added back) in the calculation of Consolidated Net Income (Net Loss)); (xii) any losses realized from the disposal, abandonment or discontinuance of operations (but if such operations are classified as discontinued due to the fact that they are subject to an agreement to dispose of such operations, at Company’s election, only when and to the extent such operations are actually disposed of) of the Company and its Subsidiaries outside of the ordinary course of business; (xiii) any restructuring charges, integration and offices and facilities opening costs, project start-up costs, costs related to the closure and/or consolidation of offices and facilities, severance costs and recruiting fees and expenses and costs incurred in connection with new systems design and implementation costs and other business optimization expenses (including related to new product or new market initiatives and other strategic or cost saving and rationalization initiatives);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aggregate amount of add-backs made pursuant to this </w:t>
      </w:r>
      <w:r>
        <w:rPr>
          <w:rFonts w:ascii="Times New Roman" w:cs="Times New Roman" w:eastAsia="Times New Roman" w:hAnsi="Times New Roman"/>
          <w:sz w:val="19"/>
          <w:szCs w:val="19"/>
          <w:u w:val="single" w:color="auto"/>
          <w:color w:val="auto"/>
        </w:rPr>
        <w:t>clause (a)(xiii)</w:t>
      </w:r>
      <w:r>
        <w:rPr>
          <w:rFonts w:ascii="Times New Roman" w:cs="Times New Roman" w:eastAsia="Times New Roman" w:hAnsi="Times New Roman"/>
          <w:sz w:val="19"/>
          <w:szCs w:val="19"/>
          <w:color w:val="auto"/>
        </w:rPr>
        <w:t xml:space="preserve"> for any period shall not in the aggregate exceed an amount equal to 20% of Consolidated EBITDA for such period (calculated prior to giving effect to this </w:t>
      </w:r>
      <w:r>
        <w:rPr>
          <w:rFonts w:ascii="Times New Roman" w:cs="Times New Roman" w:eastAsia="Times New Roman" w:hAnsi="Times New Roman"/>
          <w:sz w:val="19"/>
          <w:szCs w:val="19"/>
          <w:u w:val="single" w:color="auto"/>
          <w:color w:val="auto"/>
        </w:rPr>
        <w:t>clause (a)(xiii)</w:t>
      </w:r>
      <w:r>
        <w:rPr>
          <w:rFonts w:ascii="Times New Roman" w:cs="Times New Roman" w:eastAsia="Times New Roman" w:hAnsi="Times New Roman"/>
          <w:sz w:val="19"/>
          <w:szCs w:val="19"/>
          <w:color w:val="auto"/>
        </w:rPr>
        <w:t xml:space="preserve"> in any such period);</w:t>
      </w:r>
    </w:p>
    <w:p>
      <w:pPr>
        <w:spacing w:after="0" w:line="7" w:lineRule="exact"/>
        <w:rPr>
          <w:sz w:val="20"/>
          <w:szCs w:val="20"/>
          <w:color w:val="auto"/>
        </w:rPr>
      </w:pPr>
    </w:p>
    <w:p>
      <w:pPr>
        <w:jc w:val="both"/>
        <w:ind w:firstLine="8"/>
        <w:spacing w:after="0" w:line="252" w:lineRule="auto"/>
        <w:tabs>
          <w:tab w:leader="none" w:pos="449"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losses or discounts on sales of receivables or related items with any Permitted Factoring Program or Qualified Securitization Facility (including Securitization Fees); (xv) the amount of expenses relating to payments made to option, phantom equity or profits interests holders of the Company in connection with, or as a result of, any distribution being made to equityholders of such Person, which payments are being made to compensate such option, phantom equity or profits interests holders as though they were equityholders at the time of, and entitled to share in, such distribution, including any cash consideration for any repurchase of equity, in each case to the extent permitted in the Loan Documents; (xvi) (A) any costs or expenses incurred by the Company or any Subsidiary pursuant to any management equity plan or stock option plan or phantom equity plan or any other management or employee benefit plan or agreement, any severance agreement or any equity subscription or equityholder agreement and (B) any expenses and costs that result from any long-term incentive plan, in each case, to the extent that such costs or expenses are non-cash or otherwise funded with cash proceeds contributed to the capital of the Company or Net Cash Proceeds of an issuance of common Equity Interests of the Company </w:t>
      </w:r>
      <w:r>
        <w:rPr>
          <w:rFonts w:ascii="Times New Roman" w:cs="Times New Roman" w:eastAsia="Times New Roman" w:hAnsi="Times New Roman"/>
          <w:sz w:val="19"/>
          <w:szCs w:val="19"/>
          <w:color w:val="FF0000"/>
        </w:rPr>
        <w:t>and</w:t>
      </w:r>
      <w:r>
        <w:rPr>
          <w:rFonts w:ascii="Times New Roman" w:cs="Times New Roman" w:eastAsia="Times New Roman" w:hAnsi="Times New Roman"/>
          <w:sz w:val="19"/>
          <w:szCs w:val="19"/>
          <w:u w:val="single" w:color="auto"/>
          <w:color w:val="0000FF"/>
        </w:rPr>
        <w:t>,</w:t>
      </w:r>
      <w:r>
        <w:rPr>
          <w:rFonts w:ascii="Times New Roman" w:cs="Times New Roman" w:eastAsia="Times New Roman" w:hAnsi="Times New Roman"/>
          <w:sz w:val="19"/>
          <w:szCs w:val="19"/>
          <w:color w:val="auto"/>
        </w:rPr>
        <w:t xml:space="preserve"> (xvii)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 in each case, for such period</w:t>
      </w:r>
      <w:r>
        <w:rPr>
          <w:rFonts w:ascii="Times New Roman" w:cs="Times New Roman" w:eastAsia="Times New Roman" w:hAnsi="Times New Roman"/>
          <w:sz w:val="19"/>
          <w:szCs w:val="19"/>
          <w:u w:val="single" w:color="auto"/>
          <w:color w:val="0000FF"/>
        </w:rPr>
        <w:t>, and (xviii) (A) any costs incurred in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connection with the closure and/or consolidation of offices and facilities at the Vancouver location of the Yves Veggie Cuisine brand and line of business, and (B) restructuring charges and severance costs incurred during the time period from July 1, 2025 through (and including) December 31, 2025; provided that the aggregate amount of add-backs made pursuant to this clause (a)(xviii) shall not in the aggregate exceed an amount equal to $10,000,000</w:t>
      </w:r>
      <w:r>
        <w:rPr>
          <w:rFonts w:ascii="Times New Roman" w:cs="Times New Roman" w:eastAsia="Times New Roman" w:hAnsi="Times New Roman"/>
          <w:sz w:val="19"/>
          <w:szCs w:val="19"/>
          <w:color w:val="000000"/>
        </w:rPr>
        <w:t>; and</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u w:val="single" w:color="auto"/>
          <w:color w:val="000000"/>
        </w:rPr>
        <w:t>minus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(b) the following to the extent included in calculating such Consolidated Net Income (Net Loss):</w:t>
      </w:r>
    </w:p>
    <w:p>
      <w:pPr>
        <w:spacing w:after="0" w:line="1" w:lineRule="exact"/>
        <w:rPr>
          <w:rFonts w:ascii="Times New Roman" w:cs="Times New Roman" w:eastAsia="Times New Roman" w:hAnsi="Times New Roman"/>
          <w:sz w:val="19"/>
          <w:szCs w:val="19"/>
          <w:color w:val="auto"/>
        </w:rPr>
      </w:pPr>
    </w:p>
    <w:p>
      <w:pPr>
        <w:ind w:left="260" w:hanging="252"/>
        <w:spacing w:after="0"/>
        <w:tabs>
          <w:tab w:leader="none" w:pos="26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credits arising from adjustments to and finalization of any contingent payments which have been paid in connection with any acquisition,</w:t>
      </w:r>
    </w:p>
    <w:p>
      <w:pPr>
        <w:spacing w:after="0" w:line="11" w:lineRule="exact"/>
        <w:rPr>
          <w:rFonts w:ascii="Times New Roman" w:cs="Times New Roman" w:eastAsia="Times New Roman" w:hAnsi="Times New Roman"/>
          <w:sz w:val="19"/>
          <w:szCs w:val="19"/>
          <w:color w:val="auto"/>
        </w:rPr>
      </w:pPr>
    </w:p>
    <w:p>
      <w:pPr>
        <w:jc w:val="both"/>
        <w:ind w:firstLine="8"/>
        <w:spacing w:after="0" w:line="241" w:lineRule="auto"/>
        <w:tabs>
          <w:tab w:leader="none" w:pos="31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extraordinary or unusual gains, and (iii) any gains realized from the disposal, abandonment or discontinuance of operations (but if such operations are classified as discontinued due to the fact that they are subject to an agreement to dispose of such operations, at Company’s election, only when and to the extent such operations are actually disposed of) of the Company and its Subsidiaries outside of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-1828165</wp:posOffset>
            </wp:positionV>
            <wp:extent cx="21272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4">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calculating Consolidated EBITDA for any period of four consecutive quarters, if during such period the Company or any Subsidiary shall have acquired or disposed of any Person or acquired or disposed of all or substantially all of the operating assets, a line of business or a brand of any Person, Consolidated EBITDA for such period shall be calculated on a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basis. For purposes of this definition, (x) “</w:t>
      </w:r>
      <w:r>
        <w:rPr>
          <w:rFonts w:ascii="Times New Roman" w:cs="Times New Roman" w:eastAsia="Times New Roman" w:hAnsi="Times New Roman"/>
          <w:sz w:val="20"/>
          <w:szCs w:val="20"/>
          <w:i w:val="1"/>
          <w:iCs w:val="1"/>
          <w:u w:val="single" w:color="auto"/>
          <w:color w:val="auto"/>
        </w:rPr>
        <w:t>pro forma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basis</w:t>
      </w:r>
      <w:r>
        <w:rPr>
          <w:rFonts w:ascii="Times New Roman" w:cs="Times New Roman" w:eastAsia="Times New Roman" w:hAnsi="Times New Roman"/>
          <w:sz w:val="20"/>
          <w:szCs w:val="20"/>
          <w:color w:val="auto"/>
        </w:rPr>
        <w:t xml:space="preserve">” means, with respect to any determination for any period, that such determination shall be made giving </w:t>
      </w:r>
      <w:r>
        <w:rPr>
          <w:rFonts w:ascii="Times New Roman" w:cs="Times New Roman" w:eastAsia="Times New Roman" w:hAnsi="Times New Roman"/>
          <w:sz w:val="20"/>
          <w:szCs w:val="20"/>
          <w:i w:val="1"/>
          <w:iCs w:val="1"/>
          <w:color w:val="auto"/>
        </w:rPr>
        <w:t>pro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forma </w:t>
      </w:r>
      <w:r>
        <w:rPr>
          <w:rFonts w:ascii="Times New Roman" w:cs="Times New Roman" w:eastAsia="Times New Roman" w:hAnsi="Times New Roman"/>
          <w:sz w:val="20"/>
          <w:szCs w:val="20"/>
          <w:color w:val="auto"/>
        </w:rPr>
        <w:t>effect to each acquisition or disposition consummated, or any Person becoming, or ceasing to be, a consolidated Subsidiary, in each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case during such period (including any incurrence, assumption, refinancing or repayment of Indebtedness), as if such acquisition or disposition or consolidation or deconsolidation and related transactions had been consummated on the first day of such period, in each case based on historical results accounted for in accordance with GAAP, (y)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0" w:name="page191"/>
    <w:bookmarkEnd w:id="190"/>
    <w:p>
      <w:pPr>
        <w:jc w:val="both"/>
        <w:spacing w:after="0" w:line="246" w:lineRule="auto"/>
        <w:rPr>
          <w:sz w:val="20"/>
          <w:szCs w:val="20"/>
          <w:color w:val="auto"/>
        </w:rPr>
      </w:pPr>
      <w:r>
        <w:rPr>
          <w:rFonts w:ascii="Times New Roman" w:cs="Times New Roman" w:eastAsia="Times New Roman" w:hAnsi="Times New Roman"/>
          <w:sz w:val="20"/>
          <w:szCs w:val="20"/>
          <w:color w:val="auto"/>
        </w:rPr>
        <w:t>“acquisition” means any acquisition (including by way of a merger or amalgamation) of property by the Company or any Subsidiary that constitutes all or substantially all of the assets of a Person, or of a line of business or brand of such Person, or all or substantially all of the Equity Interests of such Person and (z) “disposition” means any disposition of property by the Company or any Subsidiary that constitutes all or substantially all of the assets of a Person, or of a line of business or brand of such Person, or all or substantially all of the Equity Interests of such Person.</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Interest Expense</w:t>
      </w:r>
      <w:r>
        <w:rPr>
          <w:rFonts w:ascii="Times New Roman" w:cs="Times New Roman" w:eastAsia="Times New Roman" w:hAnsi="Times New Roman"/>
          <w:sz w:val="20"/>
          <w:szCs w:val="20"/>
          <w:color w:val="auto"/>
        </w:rPr>
        <w:t xml:space="preserve">” means, as of any date of determination, the sum of all cash interest expense (but excluding any amortization of deferred financing costs) with respect to Indebtedness of the Company and its Subsidiaries on a consolidated basis, determined in accordance with GAAP net of interest income. Consolidated Interest Expense shall be calculated with respect to the Company and its Subsidiaries on a consolidated basis and shall be calculated (without duplication) over the four fiscal quarters immediately preceding the date of determination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Company or any of its Subsidiaries (x) prepays the principal balance of the Term Loans pursuant to </w:t>
      </w:r>
      <w:r>
        <w:rPr>
          <w:rFonts w:ascii="Times New Roman" w:cs="Times New Roman" w:eastAsia="Times New Roman" w:hAnsi="Times New Roman"/>
          <w:sz w:val="20"/>
          <w:szCs w:val="20"/>
          <w:u w:val="single" w:color="auto"/>
          <w:color w:val="auto"/>
        </w:rPr>
        <w:t>Sections 2.05(b)(iii)</w:t>
      </w:r>
      <w:r>
        <w:rPr>
          <w:rFonts w:ascii="Times New Roman" w:cs="Times New Roman" w:eastAsia="Times New Roman" w:hAnsi="Times New Roman"/>
          <w:sz w:val="20"/>
          <w:szCs w:val="20"/>
          <w:color w:val="auto"/>
        </w:rPr>
        <w:t>, (y) permanently repays or prepays any term Indebtedness with the proceeds of any Disposition or (z) ceases to be liable for any Indebtedness (and the Company and its Subsidiaries’ availability with respect to such Indebtedness is reduced to zero) as a result of any Disposition, in each case, during the period for which Consolidated Interest Expense is being calculated (including concurrently with any event for which the calculation of the Consolidated Interest Expense is made), then Consolidated Interest Expense shall be calculated giving pro forma effect to such prepayment or repayment (solely to the extent such prepayment is applied to the principal balance of the Term Loans or such other term Indebtedness) or cessation of liability as if the same had occurred on the first day of the applicable period.</w:t>
      </w:r>
    </w:p>
    <w:p>
      <w:pPr>
        <w:spacing w:after="0" w:line="187"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xml:space="preserve">” means, as of any date of determination, the ratio of (a) Consolidated Total Net Debt as of such date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EBITDA for the period of the four fiscal quarters most recently ended.</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Income (Net Loss)</w:t>
      </w:r>
      <w:r>
        <w:rPr>
          <w:rFonts w:ascii="Times New Roman" w:cs="Times New Roman" w:eastAsia="Times New Roman" w:hAnsi="Times New Roman"/>
          <w:sz w:val="20"/>
          <w:szCs w:val="20"/>
          <w:color w:val="auto"/>
        </w:rPr>
        <w:t xml:space="preserve">” means, for any period, the net income (or net loss) of the Company and its Subsidiaries on a consolidated basis for such period,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therefrom the income (or deficit) of any Person (other than a Subsidiary that would be included in the consolidated financial statements of the Company and its Subsidiaries in accordance with GAAP) in which the Company or any of its Subsidiaries has an ownership interest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a joint venture), except to the extent that any such income has been actually received by the Company or any of its Subsidiaries in the form of dividends or similar distributions (and whether in cash, securities or other property).</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Net Worth</w:t>
      </w:r>
      <w:r>
        <w:rPr>
          <w:rFonts w:ascii="Times New Roman" w:cs="Times New Roman" w:eastAsia="Times New Roman" w:hAnsi="Times New Roman"/>
          <w:sz w:val="20"/>
          <w:szCs w:val="20"/>
          <w:color w:val="auto"/>
        </w:rPr>
        <w:t>” means, as of any date of determination, the consolidated stockholder’s equity of the Company and its Subsidiaries, as determined in accordance with GAAP.</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Secured Leverage Ratio</w:t>
      </w:r>
      <w:r>
        <w:rPr>
          <w:rFonts w:ascii="Times New Roman" w:cs="Times New Roman" w:eastAsia="Times New Roman" w:hAnsi="Times New Roman"/>
          <w:sz w:val="20"/>
          <w:szCs w:val="20"/>
          <w:color w:val="auto"/>
        </w:rPr>
        <w:t xml:space="preserve">” means, as of any date of determination, the ratio of (a) Consolidated Total Net Debt as of such date that is secured by a Lien on assets of the Company and its Subsidiaries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EBITDA for the period of the four fiscal quarters most recently ended.</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Total Funded Debt</w:t>
      </w:r>
      <w:r>
        <w:rPr>
          <w:rFonts w:ascii="Times New Roman" w:cs="Times New Roman" w:eastAsia="Times New Roman" w:hAnsi="Times New Roman"/>
          <w:sz w:val="20"/>
          <w:szCs w:val="20"/>
          <w:color w:val="auto"/>
        </w:rPr>
        <w:t xml:space="preserve">” means, as of any date of determination, the sum of all Indebtedness of the Company and its Subsidiaries, on a consolidated basis, for borrowed money and for noncontingent deferred purchase price obligations incurred in connection with any Acceptable Acquisition (at the time of and to the extent such obligation is included as a liability on the balance sheet of the Company and its Subsidiaries in accordance with GAAP), including, in each case, the current portion thereof and including Attributable Indebtedness in respect of Capital Leases,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“Consolidated Total Funded Debt” shall not include seller Indebtedness of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1" w:name="page192"/>
    <w:bookmarkEnd w:id="19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incurred in connection with acquisitions permitted hereunder, solely to the extent (i) payable in Equity Interests of the Company and (ii) identified to the Administrative Agent in writing.</w:t>
      </w:r>
    </w:p>
    <w:p>
      <w:pPr>
        <w:spacing w:after="0" w:line="15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Consolidated Total Net Debt</w:t>
      </w:r>
      <w:r>
        <w:rPr>
          <w:rFonts w:ascii="Times New Roman" w:cs="Times New Roman" w:eastAsia="Times New Roman" w:hAnsi="Times New Roman"/>
          <w:sz w:val="19"/>
          <w:szCs w:val="19"/>
          <w:color w:val="auto"/>
        </w:rPr>
        <w:t>” means, as of any date of determination, the sum of (a) Consolidated Total Funded Debt determined in accordance with GAAP, plus (b) all unreimbursed drawings on letters of credit of the Company and is Subsidiaries on a consolidated basis, minus (c) an aggregate amount of Unrestricted Cash of the Company and its Subsidiaries (but excluding, for the avoidance of doubt, for the Company and its Subsidiaries on a consolidated basis (i) undrawn letters of credit letters, (ii) obligations under any Swap Contract, (iii) obligations relating to any receivables financings permitted herein, including any Permitted Factoring Program or Qualified Securitization Facility and (iv) obligations to purchase, redeem, retire, defease or otherwise make any payment in respect of any Equity Interest).</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Consolidated TTM EBITDA</w:t>
      </w:r>
      <w:r>
        <w:rPr>
          <w:rFonts w:ascii="Times New Roman" w:cs="Times New Roman" w:eastAsia="Times New Roman" w:hAnsi="Times New Roman"/>
          <w:sz w:val="20"/>
          <w:szCs w:val="20"/>
          <w:color w:val="auto"/>
        </w:rPr>
        <w:t>” means, as of any date of determination, Consolidated EBITDA determined for the 12 month period most recently ended.</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Contractual Obligation</w:t>
      </w:r>
      <w:r>
        <w:rPr>
          <w:rFonts w:ascii="Times New Roman" w:cs="Times New Roman" w:eastAsia="Times New Roman" w:hAnsi="Times New Roman"/>
          <w:sz w:val="20"/>
          <w:szCs w:val="20"/>
          <w:color w:val="auto"/>
        </w:rPr>
        <w:t>” means, as to any Person, any provision of any security issued by such Person or of any agreement, instrument or other undertaking to which such Person is a party or by which it or any of its property is bound.</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xml:space="preserve">”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any Person who owns directly or indirectly 20% or more of the Equity Interests having ordinary voting power for the election of directors or other governing body of a corporation or 20% or more of the Equity Interests of any other Person (other than as a limited partner of such other Person) will be deemed to control such corporation or other Person. “</w:t>
      </w:r>
      <w:r>
        <w:rPr>
          <w:rFonts w:ascii="Times New Roman" w:cs="Times New Roman" w:eastAsia="Times New Roman" w:hAnsi="Times New Roman"/>
          <w:sz w:val="20"/>
          <w:szCs w:val="20"/>
          <w:u w:val="single" w:color="auto"/>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Controlled</w:t>
      </w:r>
      <w:r>
        <w:rPr>
          <w:rFonts w:ascii="Times New Roman" w:cs="Times New Roman" w:eastAsia="Times New Roman" w:hAnsi="Times New Roman"/>
          <w:sz w:val="20"/>
          <w:szCs w:val="20"/>
          <w:color w:val="auto"/>
        </w:rPr>
        <w:t>” have meanings correlative thereto.</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Corporate Restructuring</w:t>
      </w:r>
      <w:r>
        <w:rPr>
          <w:rFonts w:ascii="Times New Roman" w:cs="Times New Roman" w:eastAsia="Times New Roman" w:hAnsi="Times New Roman"/>
          <w:sz w:val="20"/>
          <w:szCs w:val="20"/>
          <w:color w:val="auto"/>
        </w:rPr>
        <w:t>” means any internal reorganization or restructuring transactions entered into among the Company and/or its Subsidiaries in connection with bona fide tax planning activities so long as (i) if a Borrower is party to any merger or consolidation as part of such reorganization or restructuring transactions, such Borrower shall be the surviving entity, (ii) the Company determines in good faith that such action is in the best interests of the Company and its Subsidiaries, (iii) the value of the Collateral securing the Obligations, when taken as a whole, is not materially reduced after giving effect to such reorganization or restructuring transaction (as reasonably determined by the Company in consultation with the Administrative Agent), and (iv) the security interest of the Administrative Agent, on behalf of the Lenders, in the Collateral, when taken as a whole, is not adversely impacted after giving effect to such reorganization or restructuring transaction (as reasonably determined by the Company in consultation with the Administrative Agent).</w:t>
      </w:r>
    </w:p>
    <w:p>
      <w:pPr>
        <w:spacing w:after="0" w:line="189" w:lineRule="exact"/>
        <w:rPr>
          <w:sz w:val="20"/>
          <w:szCs w:val="20"/>
          <w:color w:val="auto"/>
        </w:rPr>
      </w:pPr>
    </w:p>
    <w:p>
      <w:pPr>
        <w:jc w:val="both"/>
        <w:ind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Covered Entity</w:t>
      </w:r>
      <w:r>
        <w:rPr>
          <w:rFonts w:ascii="Times New Roman" w:cs="Times New Roman" w:eastAsia="Times New Roman" w:hAnsi="Times New Roman"/>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CRD IV</w:t>
      </w:r>
      <w:r>
        <w:rPr>
          <w:rFonts w:ascii="Times New Roman" w:cs="Times New Roman" w:eastAsia="Times New Roman" w:hAnsi="Times New Roman"/>
          <w:sz w:val="20"/>
          <w:szCs w:val="20"/>
          <w:color w:val="auto"/>
        </w:rPr>
        <w:t>” means (a) Regulation (EU) No 575/2013 of the European Parliament and of the Council of June 26, 2013 on prudential requirements for credit institutions and investment firms; and (b) Directive 2013/36/EU of the European Parliament and of the Council of June 26, 2013 on access to the activity of credit institutions and the prudential supervision of credit institutions and investment firms.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Credit Extension</w:t>
      </w:r>
      <w:r>
        <w:rPr>
          <w:rFonts w:ascii="Times New Roman" w:cs="Times New Roman" w:eastAsia="Times New Roman" w:hAnsi="Times New Roman"/>
          <w:sz w:val="20"/>
          <w:szCs w:val="20"/>
          <w:color w:val="auto"/>
        </w:rPr>
        <w:t>” means each of the following: (a) a Borrowing and (b) an L/C Credit Extension.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2" w:name="page193"/>
    <w:bookmarkEnd w:id="19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Customer</w:t>
      </w:r>
      <w:r>
        <w:rPr>
          <w:rFonts w:ascii="Times New Roman" w:cs="Times New Roman" w:eastAsia="Times New Roman" w:hAnsi="Times New Roman"/>
          <w:sz w:val="20"/>
          <w:szCs w:val="20"/>
          <w:color w:val="auto"/>
        </w:rPr>
        <w:t>” means any Account Debtor of the Company or any of its Subsidiaries.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Daily Simple SOFR</w:t>
      </w:r>
      <w:r>
        <w:rPr>
          <w:rFonts w:ascii="Times New Roman" w:cs="Times New Roman" w:eastAsia="Times New Roman" w:hAnsi="Times New Roman"/>
          <w:sz w:val="20"/>
          <w:szCs w:val="20"/>
          <w:color w:val="auto"/>
        </w:rPr>
        <w:t>” with respect to any applicable determination date means the SOFR published on such date on the Federal Reserve Bank of New York’s website (or any successor source).</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Debtor Relief Laws</w:t>
      </w:r>
      <w:r>
        <w:rPr>
          <w:rFonts w:ascii="Times New Roman" w:cs="Times New Roman" w:eastAsia="Times New Roman" w:hAnsi="Times New Roman"/>
          <w:sz w:val="20"/>
          <w:szCs w:val="20"/>
          <w:color w:val="auto"/>
        </w:rPr>
        <w:t>” means the Bankruptcy Code of the United States, the UK Insolvency Act 1986 (UK), the Bankruptcy and Insolvency Act (Canada), the Companies’ Creditors Arrangement Act (Canada), the Winding-up and Restructuring Act (Canada), the Dutch Bankruptcy Act (</w:t>
      </w:r>
      <w:r>
        <w:rPr>
          <w:rFonts w:ascii="Times New Roman" w:cs="Times New Roman" w:eastAsia="Times New Roman" w:hAnsi="Times New Roman"/>
          <w:sz w:val="20"/>
          <w:szCs w:val="20"/>
          <w:i w:val="1"/>
          <w:iCs w:val="1"/>
          <w:color w:val="auto"/>
        </w:rPr>
        <w:t>Faillissementswet</w:t>
      </w:r>
      <w:r>
        <w:rPr>
          <w:rFonts w:ascii="Times New Roman" w:cs="Times New Roman" w:eastAsia="Times New Roman" w:hAnsi="Times New Roman"/>
          <w:sz w:val="20"/>
          <w:szCs w:val="20"/>
          <w:color w:val="auto"/>
        </w:rPr>
        <w:t>), any other laws governing the insolvency procedures referred to in Annex A to the Insolvency Regulation, and all other liquidation, conservatorship, bankruptcy, assignment for the benefit of creditors, moratorium, rearrangement, receivership, administration, insolvency, reorganization, or similar debtor relief Laws of the United States, Canada or other applicable jurisdictions from time to time in effect and affecting the rights of creditors generally.</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w:t>
      </w:r>
      <w:r>
        <w:rPr>
          <w:rFonts w:ascii="Times New Roman" w:cs="Times New Roman" w:eastAsia="Times New Roman" w:hAnsi="Times New Roman"/>
          <w:sz w:val="20"/>
          <w:szCs w:val="20"/>
          <w:color w:val="auto"/>
        </w:rPr>
        <w:t>” means any event or condition that constitutes an Event of Default or that, with the giving of any notice, the passage of time, or both, would be an Event of Default.</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means (a) when used with respect to Obligations other than Letter of Credit Fees, an interest rate equal to (i)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 the Applicable Rate, if any, applicable to Base Rate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(iii) 2.00%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 Term SOFR Loan, Alternative Currency Loan or a Global Swing Line Loan denominated in an Alternative Currency, the Default Rate shall be an interest rate equal to the interest rate (including any Applicable Rate) otherwise applicable to such Loan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2.00% per annum, and (b) when used with respect to Letter of Credit Fees, a rate equal to the Applicable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2.00% per annum.</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U.S. Swing Line Lender, the Global Swing Line Lender or any other Lender any other amount required to be paid by it hereunder (including in respect of its participation in Letters of Credit or Swing Line Loans) within two Business Days of the date when due, (b) has notified the Company, the Administrative Agent, the L/C Issuer, the U.S. Swing Line Lender or the Global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3" w:name="page194"/>
    <w:bookmarkEnd w:id="19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and of the effective date of such status,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as of the date established therefor by the Administrative Agent in a written notice of such determination, which shall be delivered by the Administrative Agent to the Company, the L/C Issuer, the U.S. Swing Line Lender, the Global Swing Line Lender and each other Lender promptly following such determination.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introductory paragraph</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Borrower Requirements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Foreign Borrower</w:t>
      </w:r>
      <w:r>
        <w:rPr>
          <w:rFonts w:ascii="Times New Roman" w:cs="Times New Roman" w:eastAsia="Times New Roman" w:hAnsi="Times New Roman"/>
          <w:sz w:val="20"/>
          <w:szCs w:val="20"/>
          <w:color w:val="auto"/>
        </w:rPr>
        <w:t>” means each Designated Borrower that is a Foreign Subsidiary of the Company.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Foreign Borrower Sublimit</w:t>
      </w:r>
      <w:r>
        <w:rPr>
          <w:rFonts w:ascii="Times New Roman" w:cs="Times New Roman" w:eastAsia="Times New Roman" w:hAnsi="Times New Roman"/>
          <w:sz w:val="20"/>
          <w:szCs w:val="20"/>
          <w:color w:val="auto"/>
        </w:rPr>
        <w:t>” means an amount equal to the lesser of (a) $360,000,000 and (b) the Global Revolving Credit Facility. The Designated Foreign Borrower Sublimit is part of, and not in addition to, the Global Revolving Credit Facility.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Jurisdiction</w:t>
      </w:r>
      <w:r>
        <w:rPr>
          <w:rFonts w:ascii="Times New Roman" w:cs="Times New Roman" w:eastAsia="Times New Roman" w:hAnsi="Times New Roman"/>
          <w:sz w:val="20"/>
          <w:szCs w:val="20"/>
          <w:color w:val="auto"/>
        </w:rPr>
        <w:t>” means any country or territory to the extent that such country or territory itself is the subject of 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Sanction.</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Designated Obligations</w:t>
      </w:r>
      <w:r>
        <w:rPr>
          <w:rFonts w:ascii="Times New Roman" w:cs="Times New Roman" w:eastAsia="Times New Roman" w:hAnsi="Times New Roman"/>
          <w:sz w:val="20"/>
          <w:szCs w:val="20"/>
          <w:color w:val="auto"/>
        </w:rPr>
        <w:t>” means all obligations of the Borrowers with respect to (a) principal of and interest on the Loans and (b) accrued and unpaid fees under the Loan Documents.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Dispose</w:t>
      </w:r>
      <w:r>
        <w:rPr>
          <w:rFonts w:ascii="Times New Roman" w:cs="Times New Roman" w:eastAsia="Times New Roman" w:hAnsi="Times New Roman"/>
          <w:sz w:val="20"/>
          <w:szCs w:val="20"/>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 mean lawful money of the United States.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Dollar Equivalent</w:t>
      </w:r>
      <w:r>
        <w:rPr>
          <w:rFonts w:ascii="Times New Roman" w:cs="Times New Roman" w:eastAsia="Times New Roman" w:hAnsi="Times New Roman"/>
          <w:sz w:val="20"/>
          <w:szCs w:val="20"/>
          <w:color w:val="auto"/>
        </w:rPr>
        <w:t>” means, at any time, (a) with respect to any amount denominated in Dollars, such amount, and (b) with respect to any amount denominated in any Alternative Currency, the equivalent amount thereof in Dollars as determined by the Administrative Agent at such time on the basis of the Spot Rate (determined in respect of the most recent Revaluation Date) for the purchase of Dollars with such Alternative Currency.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Domestic Subsidiary</w:t>
      </w:r>
      <w:r>
        <w:rPr>
          <w:rFonts w:ascii="Times New Roman" w:cs="Times New Roman" w:eastAsia="Times New Roman" w:hAnsi="Times New Roman"/>
          <w:sz w:val="20"/>
          <w:szCs w:val="20"/>
          <w:color w:val="auto"/>
        </w:rPr>
        <w:t>” means any Subsidiary that is organized under the laws of any political subdivision of the United States.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4" w:name="page195"/>
    <w:bookmarkEnd w:id="19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Dutch Borrower</w:t>
      </w:r>
      <w:r>
        <w:rPr>
          <w:rFonts w:ascii="Times New Roman" w:cs="Times New Roman" w:eastAsia="Times New Roman" w:hAnsi="Times New Roman"/>
          <w:sz w:val="20"/>
          <w:szCs w:val="20"/>
          <w:color w:val="auto"/>
        </w:rPr>
        <w:t>” means any Designated Foreign Borrower existing and organized under Dutch law.</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shall have the meaning specified in Section 10.17.</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Electronic Record</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Electronic Signature</w:t>
      </w:r>
      <w:r>
        <w:rPr>
          <w:rFonts w:ascii="Times New Roman" w:cs="Times New Roman" w:eastAsia="Times New Roman" w:hAnsi="Times New Roman"/>
          <w:sz w:val="20"/>
          <w:szCs w:val="20"/>
          <w:color w:val="auto"/>
        </w:rPr>
        <w:t>” shall have the meanings assigned to them, respectively, by 15 USC §7006, as it may be amended from time to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10.06(b)(iii)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Currency</w:t>
      </w:r>
      <w:r>
        <w:rPr>
          <w:rFonts w:ascii="Times New Roman" w:cs="Times New Roman" w:eastAsia="Times New Roman" w:hAnsi="Times New Roman"/>
          <w:sz w:val="20"/>
          <w:szCs w:val="20"/>
          <w:color w:val="auto"/>
        </w:rPr>
        <w:t xml:space="preserve">” 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Loans to be denominated in an Alternative Currency), (a) such currency no longer being readily available, freely transferable and convertible into Dollars, (b) a Dollar Equivalent is no longer readily calculable with respect to such currency, (c) providing such currency is impracticable for the Lenders or (d) no longer a currency in which the Required Lenders are willing to make such Credit Extensions (each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a “</w:t>
      </w:r>
      <w:r>
        <w:rPr>
          <w:rFonts w:ascii="Times New Roman" w:cs="Times New Roman" w:eastAsia="Times New Roman" w:hAnsi="Times New Roman"/>
          <w:sz w:val="20"/>
          <w:szCs w:val="20"/>
          <w:u w:val="single" w:color="auto"/>
          <w:color w:val="auto"/>
        </w:rPr>
        <w:t>Disqualifying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Event</w:t>
      </w:r>
      <w:r>
        <w:rPr>
          <w:rFonts w:ascii="Times New Roman" w:cs="Times New Roman" w:eastAsia="Times New Roman" w:hAnsi="Times New Roman"/>
          <w:sz w:val="20"/>
          <w:szCs w:val="20"/>
          <w:color w:val="auto"/>
        </w:rPr>
        <w:t>”), then the Administrative Agent shall promptly notify the Lenders and the Company, and such country’s currency shall no longer be an Alternative Currency until such time as the Disqualifying Event(s) no longer exist.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spacing w:after="0" w:line="18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Eligible Investments</w:t>
      </w:r>
      <w:r>
        <w:rPr>
          <w:rFonts w:ascii="Times New Roman" w:cs="Times New Roman" w:eastAsia="Times New Roman" w:hAnsi="Times New Roman"/>
          <w:sz w:val="20"/>
          <w:szCs w:val="20"/>
          <w:color w:val="auto"/>
        </w:rPr>
        <w:t xml:space="preserve">” means (a) Cash Equivalents, (b) commercial paper rated not less than P-1 or A-1 or their equivalent by Moody’s Investors Service, Inc. or Standard &amp; Poor’s Financial Services LLC, respectively, (c) tax exempt securities of a U.S. issuer rated A or better by Standard &amp; Poor’s Financial Services LLC or rated A-2 or better by Moody’s Investors Services, Inc.; or (d) common stock issued by any corporation organized under the federal laws of the United States or any state thereof (other than the Company) which stock is traded on any U.S. national securities exchange or quoted on NASDAQ,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at the time of purchase such common stock has a minimum share price of at least $2.00 per share, (ii) if any Loans are outstanding at the time of purchase, such corporation is engaged in a similar line of business as the Company and its Subsidiaries, and (iii) the aggregate of all such purchases, determined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20"/>
          <w:szCs w:val="20"/>
          <w:color w:val="auto"/>
        </w:rPr>
        <w:t>each instance at the time of purchase, of the common stock held by the Company and its Subsidiaries shall not exceed $20,000,000.</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Laws</w:t>
      </w:r>
      <w:r>
        <w:rPr>
          <w:rFonts w:ascii="Times New Roman" w:cs="Times New Roman" w:eastAsia="Times New Roman" w:hAnsi="Times New Roman"/>
          <w:sz w:val="20"/>
          <w:szCs w:val="20"/>
          <w:color w:val="auto"/>
        </w:rPr>
        <w:t>” means any and all federal, state, provincial, municipal,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 air emissions and discharges to waste or public systems.</w:t>
      </w:r>
    </w:p>
    <w:p>
      <w:pPr>
        <w:spacing w:after="0" w:line="18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8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Equity Interests</w:t>
      </w:r>
      <w:r>
        <w:rPr>
          <w:rFonts w:ascii="Times New Roman" w:cs="Times New Roman" w:eastAsia="Times New Roman" w:hAnsi="Times New Roman"/>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Affiliate</w:t>
      </w:r>
      <w:r>
        <w:rPr>
          <w:rFonts w:ascii="Times New Roman" w:cs="Times New Roman" w:eastAsia="Times New Roman" w:hAnsi="Times New Roman"/>
          <w:sz w:val="20"/>
          <w:szCs w:val="20"/>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ERISA Event</w:t>
      </w:r>
      <w:r>
        <w:rPr>
          <w:rFonts w:ascii="Times New Roman" w:cs="Times New Roman" w:eastAsia="Times New Roman" w:hAnsi="Times New Roman"/>
          <w:sz w:val="20"/>
          <w:szCs w:val="20"/>
          <w:color w:val="auto"/>
        </w:rPr>
        <w:t>” means (a) a Reportable Event with respect to a Pension Plan; (b) the withdrawal of any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(d) the filing of a notice of intent to terminate any Pension Plan under Section 4041A or 4042 of ERISA; (e) the institution by the PBGC of proceedings to terminate a Pension Plan; (f) any event or condition which constitutes grounds under Section 4041A or 4042 of ERISA for the termination of, or the appointment of a trustee to administer, any Pension Plan; (g) other than with respect to any Exempted ERISA Subsidiary, the determination that any Pension Plan is considered to be in “at-risk” status (within the meaning of Section 430 of the Code or Section 303 of ERISA) or any Multiemployer Plan is “endangered” or in “critical status” or “insolvent” within the meaning of Sections 431 and 432 of the Code or Sections 303, 304 and 305 of ERISA; (h) the incurrence by any Borrower or any ERISA Affiliate of any liability under Title IV of ERISA with respect to the termination of any Pension Plan or the imposition of a Lien pursuant to Section 430(k) of the Code or pursuant to Section 303(k) or 4068 of ERISA with respect to any Pension Plan or (i) a failure by the Company or any ERISA Affiliate to meet all applicable requirements under the Pension Funding Rules in respect of a Pension Plan, whether or not waived, or the failure by the Company or any ERISA</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Affiliate to make any required contribution to a Multiemployer Plan pursuant to Sections 431 or 432 of the Code</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€STR</w:t>
      </w:r>
      <w:r>
        <w:rPr>
          <w:rFonts w:ascii="Times New Roman" w:cs="Times New Roman" w:eastAsia="Times New Roman" w:hAnsi="Times New Roman"/>
          <w:sz w:val="20"/>
          <w:szCs w:val="20"/>
          <w:color w:val="auto"/>
        </w:rPr>
        <w:t>” means, with respect to any applicable determination date, the Euro Short Term Rate as administered by the European Central Bank (or any other person which takes over the administration of that rate, the “€STR Administrator”) displayed on the European Central Bank’s website, currently at http://www.ecb.europa.eu, or any successor source for €STR identified as such by the €STR Administrator from time to time on the Business Day preceding such determination date (and if that rate is less than zero, €STR shall be deemed to be zero); provided that if such determination date is not a Business Day, €STR means such rate that applied on the first Business Day immediately prior thereto; provided further that €STR determined pursuant to the prior proviso shall be utilized for purposes of the calculation of €STR for no more than three (3) consecutive days.</w:t>
      </w:r>
    </w:p>
    <w:p>
      <w:pPr>
        <w:spacing w:after="0" w:line="18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EURIBOR</w:t>
      </w:r>
      <w:r>
        <w:rPr>
          <w:rFonts w:ascii="Times New Roman" w:cs="Times New Roman" w:eastAsia="Times New Roman" w:hAnsi="Times New Roman"/>
          <w:sz w:val="20"/>
          <w:szCs w:val="20"/>
          <w:color w:val="auto"/>
        </w:rPr>
        <w:t>” has the meaning specified in clause (a) of the definition of “Alternative Currency Term Rate.”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Euro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EUR</w:t>
      </w:r>
      <w:r>
        <w:rPr>
          <w:rFonts w:ascii="Times New Roman" w:cs="Times New Roman" w:eastAsia="Times New Roman" w:hAnsi="Times New Roman"/>
          <w:sz w:val="20"/>
          <w:szCs w:val="20"/>
          <w:color w:val="auto"/>
        </w:rPr>
        <w:t>” mean the single currency of the Participating Member States.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Assets</w:t>
      </w:r>
      <w:r>
        <w:rPr>
          <w:rFonts w:ascii="Times New Roman" w:cs="Times New Roman" w:eastAsia="Times New Roman" w:hAnsi="Times New Roman"/>
          <w:sz w:val="20"/>
          <w:szCs w:val="20"/>
          <w:color w:val="auto"/>
        </w:rPr>
        <w:t xml:space="preserve">” means, with respect to any Loan Party, including any Person that becomes a Loan Party after the Closing Date as contemplated by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 any fee-owned real property, (b) all leasehold interests in real property, (c) any governmental licenses or state or local franchises, charters or authorizations, to the extent a security interest in any such license, franchise, charter or authorization would be prohibited or restricted thereby (including any legally effective prohibition or restriction, but excluding any prohibition or restriction that is ineffective under the Uniform Commercial Code of any applicable jurisdiction), (d) any assets to the extent that (and for so long as) the pledge thereof or grant of a security interest therein is prohibited by applicable Law, rule or regulation (including any legally effective requirement to obtain the consent of any Governmental Authority, but excluding any prohibition or restriction that is ineffective under the Uniform Commercial Code or other applicable law), (e) Equity Interests of (x) Immaterial Subsidiaries (except to the extent a security interest therein can be perfected by filing of a UCC financing Statement) and (y) not-for-profit Subsidiaries, captive insurance companies and other similar special purpose subsidiaries, (f) to the extent (and for so long as) not required to be pledged to secure the Obligations pursuant to the Collateral and Guarantee Requirement, Equity Interests of any Foreign Subsidiary or any FSHCO, (g) margin stock, (h) any Equity Interests of a Person to the extent the pledge thereof would be prohibited by such Person’s Organization Documents or joint venture documents on the Closing Date (or, with respect to any Subsidiary acquired by a Loan Party after the Closing Date, so long as such prohibition or restriction was not incurred in contemplation of such acquisition, on the date such Subsidiary is so acquired) (excluding any prohibition or restriction that is ineffective under the Uniform Commercial Code), (i) assets to the extent a security interest in such assets would result in material adverse tax consequences to the Company or one of its Subsidiaries as reasonably determined by the Company in consultation with the Administrative Agent, (j) any intent-to-use trademark application prior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97" w:name="page198"/>
    <w:bookmarkEnd w:id="197"/>
    <w:p>
      <w:pPr>
        <w:jc w:val="both"/>
        <w:spacing w:after="0" w:line="241" w:lineRule="auto"/>
        <w:rPr>
          <w:sz w:val="20"/>
          <w:szCs w:val="20"/>
          <w:color w:val="auto"/>
        </w:rPr>
      </w:pPr>
      <w:r>
        <w:rPr>
          <w:rFonts w:ascii="Times New Roman" w:cs="Times New Roman" w:eastAsia="Times New Roman" w:hAnsi="Times New Roman"/>
          <w:sz w:val="20"/>
          <w:szCs w:val="20"/>
          <w:color w:val="auto"/>
        </w:rPr>
        <w:t>to the filing, and acceptance by the U.S. Patent and Trademark Office,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(k) any lease, license, permit or other agreement or any property subject to such agreement, to the extent that, and for so long as, a grant of a security interest therein would require the consent of a third party (other than the Company or any Subsidiary) (unless such consent has been received) or violate or invalidate such lease, license, permit or agreement or create a right of termination in favor of any other party thereto (other than the Company or any Subsidiary) (in each case, so long as such restrictions have not been entered into in contemplation thereof)), in each case, after giving effect to the applicable anti-assignment provisions of applicable law (including the Uniform Commercial Code), rule or regulation other than proceeds and receivables thereof, to the extent the assignment thereof is expressly deemed effective under applicable law (including the Uniform Commercial Code) notwithstanding such prohibition, (l) receivables subject to a Permitted Factoring Program or Qualified Securitization Facility, (m) commercial tort claims with a value of less than $5,000,000 and letter-of-credit rights with a value of less than $5,000,000 (except to the extent a security interest therein can be perfected by a UCC filing), (n) vehicles and other assets subject to certificates of title, and (o) any aircraft, airframes, aircraft engines or helicopters, or any equipment or other assets constituting a part thereof (except to the extent a security interest therein can be perfected by filing a UCC financing statement).</w:t>
      </w:r>
    </w:p>
    <w:p>
      <w:pPr>
        <w:spacing w:after="0" w:line="19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Subsidiary</w:t>
      </w:r>
      <w:r>
        <w:rPr>
          <w:rFonts w:ascii="Times New Roman" w:cs="Times New Roman" w:eastAsia="Times New Roman" w:hAnsi="Times New Roman"/>
          <w:sz w:val="20"/>
          <w:szCs w:val="20"/>
          <w:color w:val="auto"/>
        </w:rPr>
        <w:t xml:space="preserve">” means, as of any date of determination, any Subsidiary of the Company that (i) is a captive insurance Subsidiary; (ii) is a not-for-profit Subsidiary; (iii) is an Immaterial Subsidiary; (iv) is a Receivables Subsidiary; (v) is not a Wholly-Owned Subsidiary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 existing Subsidiary that is a Loan Party shall not be released from being a Subsidiary Guarantor solely as a result of such Subsidiary becoming a non- Wholly-Owned Subsidiary if as a result of (i) a Disposition or issuance of Equity Interests of such Subsidiary, in either case, to a Person that is an Affiliate of the Company or (ii) any transaction entered into primarily for the purpose of such Subsidiary ceasing to constitute a Loan Party; (vi) to the extent (and for so long as) not required to guarantee the Obligations pursuant to the Collateral and Guarantee Requirement; or (vii) is listed on </w:t>
      </w:r>
      <w:r>
        <w:rPr>
          <w:rFonts w:ascii="Times New Roman" w:cs="Times New Roman" w:eastAsia="Times New Roman" w:hAnsi="Times New Roman"/>
          <w:sz w:val="20"/>
          <w:szCs w:val="20"/>
          <w:u w:val="single" w:color="auto"/>
          <w:color w:val="auto"/>
        </w:rPr>
        <w:t>Schedule 1.02</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Excluded Taxes</w:t>
      </w:r>
      <w:r>
        <w:rPr>
          <w:rFonts w:ascii="Times New Roman" w:cs="Times New Roman" w:eastAsia="Times New Roman" w:hAnsi="Times New Roman"/>
          <w:sz w:val="20"/>
          <w:szCs w:val="20"/>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incorporated or established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and (d) any U.S. federal withholding Taxes imposed pursuant to FATCA.</w:t>
      </w:r>
    </w:p>
    <w:p>
      <w:pPr>
        <w:spacing w:after="0" w:line="19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Exempted ERISA Subsidiary</w:t>
      </w:r>
      <w:r>
        <w:rPr>
          <w:rFonts w:ascii="Times New Roman" w:cs="Times New Roman" w:eastAsia="Times New Roman" w:hAnsi="Times New Roman"/>
          <w:sz w:val="20"/>
          <w:szCs w:val="20"/>
          <w:color w:val="auto"/>
        </w:rPr>
        <w:t>” means any Person (a) who becomes a Subsidiary of the Company after the Closing Date pursuant to an Acceptable Acquisition and (b) with respect to which the Company has (i) notified the Administrative Agent that such Person shall, solely during the Transition Period applicable to such Acceptable Acquisition, be deemed an “Exempted ERISA Subsidiary” for purposes hereof, and (ii) together with such notice, provided information in reasonable detail to the Administrative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8" w:name="page199"/>
    <w:bookmarkEnd w:id="198"/>
    <w:p>
      <w:pPr>
        <w:jc w:val="both"/>
        <w:spacing w:after="0" w:line="269" w:lineRule="auto"/>
        <w:rPr>
          <w:sz w:val="20"/>
          <w:szCs w:val="20"/>
          <w:color w:val="auto"/>
        </w:rPr>
      </w:pPr>
      <w:r>
        <w:rPr>
          <w:rFonts w:ascii="Times New Roman" w:cs="Times New Roman" w:eastAsia="Times New Roman" w:hAnsi="Times New Roman"/>
          <w:sz w:val="20"/>
          <w:szCs w:val="20"/>
          <w:color w:val="auto"/>
        </w:rPr>
        <w:t>Agent regarding such Person’s current Pension Plans and stating what action the Company has taken and proposes to take with respect thereto.</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Credit Agreement</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preliminary statements</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Lenders</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preliminary statements</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Existing Loans</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preliminary statements</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Facility</w:t>
      </w:r>
      <w:r>
        <w:rPr>
          <w:rFonts w:ascii="Times New Roman" w:cs="Times New Roman" w:eastAsia="Times New Roman" w:hAnsi="Times New Roman"/>
          <w:sz w:val="20"/>
          <w:szCs w:val="20"/>
          <w:color w:val="auto"/>
        </w:rPr>
        <w:t>” means the Term Facility, the U.S. Revolving Credit Facility and/or the Global Revolving Credit Facility, as the context may require.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Factor</w:t>
      </w:r>
      <w:r>
        <w:rPr>
          <w:rFonts w:ascii="Times New Roman" w:cs="Times New Roman" w:eastAsia="Times New Roman" w:hAnsi="Times New Roman"/>
          <w:sz w:val="20"/>
          <w:szCs w:val="20"/>
          <w:color w:val="auto"/>
        </w:rPr>
        <w:t>” means any Person that is a purchaser of Accounts of a Customer under a Factoring Program.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Factoring Program</w:t>
      </w:r>
      <w:r>
        <w:rPr>
          <w:rFonts w:ascii="Times New Roman" w:cs="Times New Roman" w:eastAsia="Times New Roman" w:hAnsi="Times New Roman"/>
          <w:sz w:val="20"/>
          <w:szCs w:val="20"/>
          <w:color w:val="auto"/>
        </w:rPr>
        <w:t>” means a program established by any Person (including a Customer) for the limited recourse sale of Customer Accounts to a Factor.</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Company.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FASB ASC</w:t>
      </w:r>
      <w:r>
        <w:rPr>
          <w:rFonts w:ascii="Times New Roman" w:cs="Times New Roman" w:eastAsia="Times New Roman" w:hAnsi="Times New Roman"/>
          <w:sz w:val="20"/>
          <w:szCs w:val="20"/>
          <w:color w:val="auto"/>
        </w:rPr>
        <w:t>” means the Accounting Standards Codification of the Financial Accounting Standards Board.</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Federal Funds Rate</w:t>
      </w:r>
      <w:r>
        <w:rPr>
          <w:rFonts w:ascii="Times New Roman" w:cs="Times New Roman" w:eastAsia="Times New Roman" w:hAnsi="Times New Roman"/>
          <w:sz w:val="20"/>
          <w:szCs w:val="20"/>
          <w:color w:val="auto"/>
        </w:rPr>
        <w:t>”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Rate as so determined would be less than zero, such rate shall be deemed to be zero for the purposes of this Agreement.</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means the letter agreement, dated as of November 30, 2021, among the Company, the Administrative Agent and BofA Securities, Inc.</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u w:val="single" w:color="auto"/>
          <w:color w:val="0000FF"/>
        </w:rPr>
        <w:t>“Financial Advisor” means RPA Advisors, LLC, as financial advisor to Holland &amp; Knight LLP, counsel to the Administrative Agent and/or such other financial or other advisor as may be engaged by the Administrative Agent or its counsel.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99" w:name="page200"/>
    <w:bookmarkEnd w:id="199"/>
    <w:p>
      <w:pPr>
        <w:jc w:val="both"/>
        <w:ind w:firstLine="101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w:t>
      </w:r>
      <w:r>
        <w:rPr>
          <w:rFonts w:ascii="Times New Roman" w:cs="Times New Roman" w:eastAsia="Times New Roman" w:hAnsi="Times New Roman"/>
          <w:sz w:val="20"/>
          <w:szCs w:val="20"/>
          <w:color w:val="auto"/>
        </w:rPr>
        <w:t>” means that certain First Amendment to Credit Agreement, dated as of the First Amendment Effective Date, by and between the Company, the Lenders party thereto and the Administrative Agent.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First Amendment Effective Date</w:t>
      </w:r>
      <w:r>
        <w:rPr>
          <w:rFonts w:ascii="Times New Roman" w:cs="Times New Roman" w:eastAsia="Times New Roman" w:hAnsi="Times New Roman"/>
          <w:sz w:val="20"/>
          <w:szCs w:val="20"/>
          <w:color w:val="auto"/>
        </w:rPr>
        <w:t>” means December 16, 2022.</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Lender</w:t>
      </w:r>
      <w:r>
        <w:rPr>
          <w:rFonts w:ascii="Times New Roman" w:cs="Times New Roman" w:eastAsia="Times New Roman" w:hAnsi="Times New Roman"/>
          <w:sz w:val="20"/>
          <w:szCs w:val="20"/>
          <w:color w:val="auto"/>
        </w:rPr>
        <w:t>” means, with respect to any Borrower, (a) if such Borrower is a U.S. Person, a Lender that is not a U.S. Person, and (b) if such Borrower is not a U.S. Person, a Lender that is resident or organized, incorporated or established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Foreign Subsidiary</w:t>
      </w:r>
      <w:r>
        <w:rPr>
          <w:rFonts w:ascii="Times New Roman" w:cs="Times New Roman" w:eastAsia="Times New Roman" w:hAnsi="Times New Roman"/>
          <w:sz w:val="20"/>
          <w:szCs w:val="20"/>
          <w:color w:val="auto"/>
        </w:rPr>
        <w:t>” means any Subsidiary that is organized, incorporated or established under the laws of a jurisdiction other than the United States, a State thereof or the District of Columbia.</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“Fourth Amendment Effective Date” means September 11, 2025.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FRB</w:t>
      </w:r>
      <w:r>
        <w:rPr>
          <w:rFonts w:ascii="Times New Roman" w:cs="Times New Roman" w:eastAsia="Times New Roman" w:hAnsi="Times New Roman"/>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Fronting Exposure</w:t>
      </w:r>
      <w:r>
        <w:rPr>
          <w:rFonts w:ascii="Times New Roman" w:cs="Times New Roman" w:eastAsia="Times New Roman" w:hAnsi="Times New Roman"/>
          <w:sz w:val="20"/>
          <w:szCs w:val="20"/>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any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FSHCO</w:t>
      </w:r>
      <w:r>
        <w:rPr>
          <w:rFonts w:ascii="Times New Roman" w:cs="Times New Roman" w:eastAsia="Times New Roman" w:hAnsi="Times New Roman"/>
          <w:sz w:val="20"/>
          <w:szCs w:val="20"/>
          <w:color w:val="auto"/>
        </w:rPr>
        <w:t>” means any Domestic Subsidiary of the Company that has no material assets other than Equity Interests and/or Indebtedness in one or more Foreign Subsidiaries of the Company that are CFCs.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Funding Indemnity Letter</w:t>
      </w:r>
      <w:r>
        <w:rPr>
          <w:rFonts w:ascii="Times New Roman" w:cs="Times New Roman" w:eastAsia="Times New Roman" w:hAnsi="Times New Roman"/>
          <w:sz w:val="20"/>
          <w:szCs w:val="20"/>
          <w:color w:val="auto"/>
        </w:rPr>
        <w:t xml:space="preserve">” means a funding indemnity letter,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GAAP</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 In relation to any Dutch Borrower, GAAP means generally accepted accounting principles in the Netherlands and where appropriate, including IFRS.</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Credit Borrowing</w:t>
      </w:r>
      <w:r>
        <w:rPr>
          <w:rFonts w:ascii="Times New Roman" w:cs="Times New Roman" w:eastAsia="Times New Roman" w:hAnsi="Times New Roman"/>
          <w:sz w:val="20"/>
          <w:szCs w:val="20"/>
          <w:color w:val="auto"/>
        </w:rPr>
        <w:t xml:space="preserve">” means a borrowing consisting of simultaneous Global Revolving Credit Loans of the same Type and, in the case of Term SOFR Loans, having the same Interest Period made by each of the Global Revolving Credit Lenders pursuant to </w:t>
      </w:r>
      <w:r>
        <w:rPr>
          <w:rFonts w:ascii="Times New Roman" w:cs="Times New Roman" w:eastAsia="Times New Roman" w:hAnsi="Times New Roman"/>
          <w:sz w:val="20"/>
          <w:szCs w:val="20"/>
          <w:u w:val="single" w:color="auto"/>
          <w:color w:val="auto"/>
        </w:rPr>
        <w:t>Section 2.01(b)(ii)</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Credit Commitment</w:t>
      </w:r>
      <w:r>
        <w:rPr>
          <w:rFonts w:ascii="Times New Roman" w:cs="Times New Roman" w:eastAsia="Times New Roman" w:hAnsi="Times New Roman"/>
          <w:sz w:val="20"/>
          <w:szCs w:val="20"/>
          <w:color w:val="auto"/>
        </w:rPr>
        <w:t xml:space="preserve">” means, as to each Lender, its obligation to (a) make Global Revolving Credit Loans to the Company and the Designated Foreign Borrowers pursuant to </w:t>
      </w:r>
      <w:r>
        <w:rPr>
          <w:rFonts w:ascii="Times New Roman" w:cs="Times New Roman" w:eastAsia="Times New Roman" w:hAnsi="Times New Roman"/>
          <w:sz w:val="20"/>
          <w:szCs w:val="20"/>
          <w:u w:val="single" w:color="auto"/>
          <w:color w:val="auto"/>
        </w:rPr>
        <w:t>Section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0" w:name="page201"/>
    <w:bookmarkEnd w:id="200"/>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2.01(b)(ii)</w:t>
      </w:r>
      <w:r>
        <w:rPr>
          <w:rFonts w:ascii="Times New Roman" w:cs="Times New Roman" w:eastAsia="Times New Roman" w:hAnsi="Times New Roman"/>
          <w:sz w:val="20"/>
          <w:szCs w:val="20"/>
          <w:color w:val="auto"/>
        </w:rPr>
        <w:t xml:space="preserve"> and (b) purchase participations in Global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“Global Revolving Credit Commitment” or opposite such caption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Credit Facility</w:t>
      </w:r>
      <w:r>
        <w:rPr>
          <w:rFonts w:ascii="Times New Roman" w:cs="Times New Roman" w:eastAsia="Times New Roman" w:hAnsi="Times New Roman"/>
          <w:sz w:val="20"/>
          <w:szCs w:val="20"/>
          <w:color w:val="auto"/>
        </w:rPr>
        <w:t>” means, at any time, the aggregate amount of the Global Revolving Credit Lenders’ Global Revolving Credit Commitments at such time. As of the Closing Date, the Global Revolving Credit Facility is $360,000,000 (or, as applicable, the Alternative Currency Equivalent thereof); from and after the Third Amendment Effective Date, the Global Revolving Credit Facility is $315,000,000 (or, as applicable, the Alternative Currency Equivalent thereof)</w:t>
      </w:r>
      <w:r>
        <w:rPr>
          <w:rFonts w:ascii="Times New Roman" w:cs="Times New Roman" w:eastAsia="Times New Roman" w:hAnsi="Times New Roman"/>
          <w:sz w:val="20"/>
          <w:szCs w:val="20"/>
          <w:u w:val="single" w:color="auto"/>
          <w:color w:val="0000FF"/>
        </w:rPr>
        <w:t>, and from and after the Fourth Amendment 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Date, the Global Revolving Credit Facility is $270,000,000 (or, as applicable, the Alternative Currency Equivalent thereof)</w:t>
      </w:r>
      <w:r>
        <w:rPr>
          <w:rFonts w:ascii="Times New Roman" w:cs="Times New Roman" w:eastAsia="Times New Roman" w:hAnsi="Times New Roman"/>
          <w:sz w:val="20"/>
          <w:szCs w:val="20"/>
          <w:color w:val="000000"/>
        </w:rPr>
        <w: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Credit Lender</w:t>
      </w:r>
      <w:r>
        <w:rPr>
          <w:rFonts w:ascii="Times New Roman" w:cs="Times New Roman" w:eastAsia="Times New Roman" w:hAnsi="Times New Roman"/>
          <w:sz w:val="20"/>
          <w:szCs w:val="20"/>
          <w:color w:val="auto"/>
        </w:rPr>
        <w:t>” means, at any time, any Lender that has a Global Revolving Credit Commitment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Swing Line Lender</w:t>
      </w:r>
      <w:r>
        <w:rPr>
          <w:rFonts w:ascii="Times New Roman" w:cs="Times New Roman" w:eastAsia="Times New Roman" w:hAnsi="Times New Roman"/>
          <w:sz w:val="20"/>
          <w:szCs w:val="20"/>
          <w:color w:val="auto"/>
        </w:rPr>
        <w:t>” means (a) in the case of all Global Swing Line Loans denominated in Canadian Dollars to the Canadian Borrower, Bank of America, N.A., Canada Branch and (b) in the case of all other Global Swing Line Loans, Bank of America, in each case, in its capacity as provider of those Global Swing Line Loans, or any successor swing line lender of such swing line loans hereunder.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Swing Line Loan (Euro)</w:t>
      </w:r>
      <w:r>
        <w:rPr>
          <w:rFonts w:ascii="Times New Roman" w:cs="Times New Roman" w:eastAsia="Times New Roman" w:hAnsi="Times New Roman"/>
          <w:sz w:val="20"/>
          <w:szCs w:val="20"/>
          <w:color w:val="auto"/>
        </w:rPr>
        <w:t>” means any Global Swing Line Loan that bears interest at a rate based on the definition of “€STR”. All Global Swing Line Loans (Euro) must be denominated in Euros.</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Swing Line Loan (Sterling)</w:t>
      </w:r>
      <w:r>
        <w:rPr>
          <w:rFonts w:ascii="Times New Roman" w:cs="Times New Roman" w:eastAsia="Times New Roman" w:hAnsi="Times New Roman"/>
          <w:sz w:val="20"/>
          <w:szCs w:val="20"/>
          <w:color w:val="auto"/>
        </w:rPr>
        <w:t>” means any Global Swing Line Loan that bears interest at a rate based on the definition of “Alternative Currency Daily Rate”. All Global Swing Line Loans (Sterling) must be denominated in Sterling.</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Global Swing Line Sublimit</w:t>
      </w:r>
      <w:r>
        <w:rPr>
          <w:rFonts w:ascii="Times New Roman" w:cs="Times New Roman" w:eastAsia="Times New Roman" w:hAnsi="Times New Roman"/>
          <w:sz w:val="20"/>
          <w:szCs w:val="20"/>
          <w:color w:val="auto"/>
        </w:rPr>
        <w:t>” means an amount equal to the lesser of (a) the applicable Alternative Currency Equivalent of $30,000,000 (of which, no more than the Alternative Currency Equivalent of $5,000,000 shall be available for Global Swing Line Loans denominated in Canadian Dollars) and (b) the Global Revolving Credit Facility. The Global Swing Line Sublimit is part of, and not in addition to, the Global Revolving Credit Facility.</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Governmental Authority</w:t>
      </w:r>
      <w:r>
        <w:rPr>
          <w:rFonts w:ascii="Times New Roman" w:cs="Times New Roman" w:eastAsia="Times New Roman" w:hAnsi="Times New Roman"/>
          <w:sz w:val="20"/>
          <w:szCs w:val="20"/>
          <w:color w:val="auto"/>
        </w:rPr>
        <w:t>” means the government of the United States, Canada or any other nation, or of any political subdivision thereof, whether state, provincial, municipal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Guaranties</w:t>
      </w:r>
      <w:r>
        <w:rPr>
          <w:rFonts w:ascii="Times New Roman" w:cs="Times New Roman" w:eastAsia="Times New Roman" w:hAnsi="Times New Roman"/>
          <w:sz w:val="20"/>
          <w:szCs w:val="20"/>
          <w:color w:val="auto"/>
        </w:rPr>
        <w:t>” means the Company Guaranty and the Subsidiary Guaranty, as the context may require.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Hazardous Materials</w:t>
      </w:r>
      <w:r>
        <w:rPr>
          <w:rFonts w:ascii="Times New Roman" w:cs="Times New Roman" w:eastAsia="Times New Roman" w:hAnsi="Times New Roman"/>
          <w:sz w:val="20"/>
          <w:szCs w:val="20"/>
          <w:color w:val="auto"/>
        </w:rPr>
        <w:t>” means all explosive or radioactive substances or wastes and all hazardous or toxic substances, wastes or other pollutants, including petroleum or petroleum distillates, asbestos 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1" w:name="page202"/>
    <w:bookmarkEnd w:id="201"/>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asbestos-containing materials, polychlorinated biphenyls, radon gas, infectious or medical wastes and all other substances or wastes of any nature regulated pursuant to any Environmental Law.</w:t>
      </w:r>
    </w:p>
    <w:p>
      <w:pPr>
        <w:spacing w:after="0" w:line="159"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Hedge Bank</w:t>
      </w:r>
      <w:r>
        <w:rPr>
          <w:rFonts w:ascii="Times New Roman" w:cs="Times New Roman" w:eastAsia="Times New Roman" w:hAnsi="Times New Roman"/>
          <w:sz w:val="19"/>
          <w:szCs w:val="19"/>
          <w:color w:val="auto"/>
        </w:rPr>
        <w:t xml:space="preserve">” means any Person that (a) has entered into a Swap Contract permitted under </w:t>
      </w:r>
      <w:r>
        <w:rPr>
          <w:rFonts w:ascii="Times New Roman" w:cs="Times New Roman" w:eastAsia="Times New Roman" w:hAnsi="Times New Roman"/>
          <w:sz w:val="19"/>
          <w:szCs w:val="19"/>
          <w:u w:val="single" w:color="auto"/>
          <w:color w:val="auto"/>
        </w:rPr>
        <w:t>Article VII</w:t>
      </w:r>
      <w:r>
        <w:rPr>
          <w:rFonts w:ascii="Times New Roman" w:cs="Times New Roman" w:eastAsia="Times New Roman" w:hAnsi="Times New Roman"/>
          <w:sz w:val="19"/>
          <w:szCs w:val="19"/>
          <w:color w:val="auto"/>
        </w:rPr>
        <w:t xml:space="preserve"> with any Loan Party or any Subsidiary of a Loan Party prior to the Closing Date, if (i) such Person is a Lender or an Affiliate of a Lender, in its capacity as a party to such Swap Contract, as of the Closing Date and (ii) such Swap Contract was a Guaranteed Hedge Agreement pursuant to the Existing Credit Agreement; or (b) enters into a Swap Contract with any Loan Party or any Subsidiary of a Loan Party on or after the Closing Date, if such Person is a Lender or an Affiliate of a Lender, in its capacity as a party to such Swap Contract, at the time it enters into such Swap Contract.</w:t>
      </w:r>
    </w:p>
    <w:p>
      <w:pPr>
        <w:spacing w:after="0" w:line="16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IFRS</w:t>
      </w:r>
      <w:r>
        <w:rPr>
          <w:rFonts w:ascii="Times New Roman" w:cs="Times New Roman" w:eastAsia="Times New Roman" w:hAnsi="Times New Roman"/>
          <w:sz w:val="20"/>
          <w:szCs w:val="20"/>
          <w:color w:val="auto"/>
        </w:rPr>
        <w:t>” means international accounting standards within the meaning of IAS Regulation 1606/2002 to the extent applicable to the relevant financial statements delivered under or referred to herein.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Immaterial Subsidiary</w:t>
      </w:r>
      <w:r>
        <w:rPr>
          <w:rFonts w:ascii="Times New Roman" w:cs="Times New Roman" w:eastAsia="Times New Roman" w:hAnsi="Times New Roman"/>
          <w:sz w:val="20"/>
          <w:szCs w:val="20"/>
          <w:color w:val="auto"/>
        </w:rPr>
        <w:t>” means any Subsidiary that is not a Material Subsidiary.</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and, in each case, not past due for more than 60 days after the date on which such trade account payable was created);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evidenced by bonds, debentures, notes or other similar instruments;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Leases;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obligations of such Person under any Swap Contract;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contingent or otherwise, of such Person as an account party or applicant in respect of letters of credit (and bankers’ acceptances, bank guaranties, surety bonds and similar instruments) created for the account or upon the application of such Person;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accrued and unpaid dividends;</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guarantees (direct or indirect) of such Person in respect of any of the foregoing;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Off-Balance Sheet Liability.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2" w:name="page203"/>
    <w:bookmarkEnd w:id="202"/>
    <w:p>
      <w:pPr>
        <w:jc w:val="both"/>
        <w:spacing w:after="0" w:line="242" w:lineRule="auto"/>
        <w:rPr>
          <w:sz w:val="20"/>
          <w:szCs w:val="20"/>
          <w:color w:val="auto"/>
        </w:rPr>
      </w:pPr>
      <w:r>
        <w:rPr>
          <w:rFonts w:ascii="Times New Roman" w:cs="Times New Roman" w:eastAsia="Times New Roman" w:hAnsi="Times New Roman"/>
          <w:sz w:val="20"/>
          <w:szCs w:val="20"/>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as of any date shall be deemed to be the amount of Attributable Indebtedness in respect thereof as of such date. For all purposes hereof, the Indebtedness of the Company and the Subsidiaries shall exclude (i) intercompany liabilities arising from their cash management, tax, and accounting operations and intercompany loans, intercompany advances or intercompany Indebtedness having a term not exceeding 364 days (inclusive of any rollover or extensions of terms) and, in each case, made in the ordinary course of business, or (ii) to the extent such obligations would otherwise constitute Indebtedness, indemnification or expense reimbursement obligations which (by their express terms) have survived termination of an agreement (and the payment and satisfaction in full of all other obligations thereunder).</w:t>
      </w:r>
    </w:p>
    <w:p>
      <w:pPr>
        <w:spacing w:after="0" w:line="19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Indemnified Taxes</w:t>
      </w:r>
      <w:r>
        <w:rPr>
          <w:rFonts w:ascii="Times New Roman" w:cs="Times New Roman" w:eastAsia="Times New Roman" w:hAnsi="Times New Roman"/>
          <w:sz w:val="20"/>
          <w:szCs w:val="20"/>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Indemnitees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Insolvency Regulation</w:t>
      </w:r>
      <w:r>
        <w:rPr>
          <w:rFonts w:ascii="Times New Roman" w:cs="Times New Roman" w:eastAsia="Times New Roman" w:hAnsi="Times New Roman"/>
          <w:sz w:val="20"/>
          <w:szCs w:val="20"/>
          <w:color w:val="auto"/>
        </w:rPr>
        <w:t>” shall mean The Council of the European Union Regulation No. 2015/848 on Insolvency Proceedings.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w:t>
      </w:r>
      <w:r>
        <w:rPr>
          <w:rFonts w:ascii="Times New Roman" w:cs="Times New Roman" w:eastAsia="Times New Roman" w:hAnsi="Times New Roman"/>
          <w:sz w:val="20"/>
          <w:szCs w:val="20"/>
          <w:color w:val="auto"/>
        </w:rPr>
        <w:t>” means all of the trademarks (whether or not registered) and trademark registrations and applications, patent and patent applications, industrial design and industrial design applications, copyrights and copyright applications, service marks, service mark registrations and applications, trade dress, and trade and product names.</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Intellectual Property Security Agreements</w:t>
      </w:r>
      <w:r>
        <w:rPr>
          <w:rFonts w:ascii="Times New Roman" w:cs="Times New Roman" w:eastAsia="Times New Roman" w:hAnsi="Times New Roman"/>
          <w:sz w:val="20"/>
          <w:szCs w:val="20"/>
          <w:color w:val="auto"/>
        </w:rPr>
        <w:t>” means each of the Notice of Grant of Security Interest in Copyrights, the Notice of Grant of Security Interest in Patents, and the Notice of Grant of Security Interest in Trademarks (as each such term is defined in the Security Agreement), in each case, as amended, amended and restated, supplemented or otherwise modified from time to time.</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Payment Date</w:t>
      </w:r>
      <w:r>
        <w:rPr>
          <w:rFonts w:ascii="Times New Roman" w:cs="Times New Roman" w:eastAsia="Times New Roman" w:hAnsi="Times New Roman"/>
          <w:sz w:val="20"/>
          <w:szCs w:val="20"/>
          <w:color w:val="auto"/>
        </w:rPr>
        <w:t xml:space="preserve">” means (a) as to any Term SOFR Loan or any Alternative Currency Term Rate Loan, the last day of each Interest Period applicable to such Loan and the Maturity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Interest Period for a Term SOFR Loan or an Alternative Currency Term Rate Loan, as applicable, exceeds three months, the respective dates that fall every three months after the beginning of such Interest Period shall also be Interest Payment Dates; (b) as to any Base Rate Loan (including any U.S. Swing Line Loan denominated in Dollars) or any Global Swing Line Loan denominated in an Alternative Currency, the last Business Day of each March, June, September and December and the Maturity Date, and (c) as to any Alternative Currency Daily Rate Loan, the last Business Day of each month and the Maturity Date.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Interest Period</w:t>
      </w:r>
      <w:r>
        <w:rPr>
          <w:rFonts w:ascii="Times New Roman" w:cs="Times New Roman" w:eastAsia="Times New Roman" w:hAnsi="Times New Roman"/>
          <w:sz w:val="20"/>
          <w:szCs w:val="20"/>
          <w:color w:val="auto"/>
        </w:rPr>
        <w:t xml:space="preserve">” means, as to (i) each Term SOFR Loan the period commencing on the date such Term SOFR Loan is disbursed or converted to or continued as a Term SOFR Loan and ending on the date one month thereafter or (ii) each Alternative Currency Term Rate Loan, the period commencing on the date such Alternative Currency Term Rate Loan is disbursed or converted to or continued as an Alternative Currency Term Rate Loan and ending on the date one, three or six months thereafter (in each case, subject to availability for the interest rate applicable to the relevant currency), as selected by the Company in its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3" w:name="page204"/>
    <w:bookmarkEnd w:id="203"/>
    <w:p>
      <w:pPr>
        <w:jc w:val="both"/>
        <w:ind w:left="760" w:firstLine="745"/>
        <w:spacing w:after="0" w:line="254" w:lineRule="auto"/>
        <w:tabs>
          <w:tab w:leader="none" w:pos="19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that would otherwise end on a day that is not a Business Day shall be extended to the next succeeding Business Day, in the case of a Term SOFR Loan or Alternative Currency Term Rate Loan, unless such Business Day falls in another calendar month, in which case such Interest Period shall end on the next preceding Business Day;</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190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pertaining to a Term SOFR Loan or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shall extend beyond the Maturity Date of the Facility under which such Loan was made.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Inventory</w:t>
      </w:r>
      <w:r>
        <w:rPr>
          <w:rFonts w:ascii="Times New Roman" w:cs="Times New Roman" w:eastAsia="Times New Roman" w:hAnsi="Times New Roman"/>
          <w:sz w:val="20"/>
          <w:szCs w:val="20"/>
          <w:color w:val="auto"/>
        </w:rPr>
        <w:t>” has the meaning assigned to such term in the Security Agreement.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Investment</w:t>
      </w:r>
      <w:r>
        <w:rPr>
          <w:rFonts w:ascii="Times New Roman" w:cs="Times New Roman" w:eastAsia="Times New Roman" w:hAnsi="Times New Roman"/>
          <w:sz w:val="20"/>
          <w:szCs w:val="20"/>
          <w:color w:val="auto"/>
        </w:rPr>
        <w:t>” 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 purposes of covenant compliance, the amount of any Investment shall be the amount actually invested (measured at the time made), without adjustment for subsequent increases or decreases in the value of such Investment but giving effect to any returns or distributions of capital or repayment of principal actually received in cash by such other Person with respect thereto (but only to the extent that the aggregate amount of all such returns, distributions and repayments with respect to such Investment does not exceed the principal amount of such Investment).</w:t>
      </w:r>
    </w:p>
    <w:p>
      <w:pPr>
        <w:spacing w:after="0" w:line="185"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Issuer Documents</w:t>
      </w:r>
      <w:r>
        <w:rPr>
          <w:rFonts w:ascii="Times New Roman" w:cs="Times New Roman" w:eastAsia="Times New Roman" w:hAnsi="Times New Roman"/>
          <w:sz w:val="20"/>
          <w:szCs w:val="20"/>
          <w:color w:val="auto"/>
        </w:rPr>
        <w:t>” means with respect to any Letter of Credit, the Letter of Credit Application, and any other document, agreement and instrument entered into by the L/C Issuer and the Company (or any Subsidiary) or in favor of the L/C Issuer and relating to such Letter of Credit.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Jersey</w:t>
      </w:r>
      <w:r>
        <w:rPr>
          <w:rFonts w:ascii="Times New Roman" w:cs="Times New Roman" w:eastAsia="Times New Roman" w:hAnsi="Times New Roman"/>
          <w:sz w:val="20"/>
          <w:szCs w:val="20"/>
          <w:color w:val="auto"/>
        </w:rPr>
        <w:t>” means the Bailiwick of Jersey.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Jersey Borrower</w:t>
      </w:r>
      <w:r>
        <w:rPr>
          <w:rFonts w:ascii="Times New Roman" w:cs="Times New Roman" w:eastAsia="Times New Roman" w:hAnsi="Times New Roman"/>
          <w:sz w:val="20"/>
          <w:szCs w:val="20"/>
          <w:color w:val="auto"/>
        </w:rPr>
        <w:t>” means a Designated Foreign Borrower incorporated or established existing under the laws of Jersey.</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10.21.</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Advance</w:t>
      </w:r>
      <w:r>
        <w:rPr>
          <w:rFonts w:ascii="Times New Roman" w:cs="Times New Roman" w:eastAsia="Times New Roman" w:hAnsi="Times New Roman"/>
          <w:sz w:val="20"/>
          <w:szCs w:val="20"/>
          <w:color w:val="auto"/>
        </w:rPr>
        <w:t>” means, with respect to each U.S. Revolving Credit Lender, such U.S. Revolving Credit Lender’s funding of its participation in any L/C Borrowing in accordance with its Applicable Percentage. All L/C Advances shall be denominated in Dollars.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4" w:name="page205"/>
    <w:bookmarkEnd w:id="204"/>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Borrowing</w:t>
      </w:r>
      <w:r>
        <w:rPr>
          <w:rFonts w:ascii="Times New Roman" w:cs="Times New Roman" w:eastAsia="Times New Roman" w:hAnsi="Times New Roman"/>
          <w:sz w:val="20"/>
          <w:szCs w:val="20"/>
          <w:color w:val="auto"/>
        </w:rPr>
        <w:t>” means an extension of credit resulting from a drawing under any Letter of Credit which has not been reimbursed on the date when made or refinanced as a U.S. Revolving Credit Borrowing. All L/C Borrowings shall be denominated in Dollars.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Credit Extension</w:t>
      </w:r>
      <w:r>
        <w:rPr>
          <w:rFonts w:ascii="Times New Roman" w:cs="Times New Roman" w:eastAsia="Times New Roman" w:hAnsi="Times New Roman"/>
          <w:sz w:val="20"/>
          <w:szCs w:val="20"/>
          <w:color w:val="auto"/>
        </w:rPr>
        <w:t>” means, with respect to any Letter of Credit, the issuance thereof or extension of the expiry date thereof, or the increase of the amount thereof.</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Issuer</w:t>
      </w:r>
      <w:r>
        <w:rPr>
          <w:rFonts w:ascii="Times New Roman" w:cs="Times New Roman" w:eastAsia="Times New Roman" w:hAnsi="Times New Roman"/>
          <w:sz w:val="20"/>
          <w:szCs w:val="20"/>
          <w:color w:val="auto"/>
        </w:rPr>
        <w:t>” means Bank of America in its capacity as issuer of Letters of Credit hereunder, or any successor issuer of Letters of Credit hereunder.</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L/C Obligations</w:t>
      </w:r>
      <w:r>
        <w:rPr>
          <w:rFonts w:ascii="Times New Roman" w:cs="Times New Roman" w:eastAsia="Times New Roman" w:hAnsi="Times New Roman"/>
          <w:sz w:val="20"/>
          <w:szCs w:val="20"/>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Laws</w:t>
      </w:r>
      <w:r>
        <w:rPr>
          <w:rFonts w:ascii="Times New Roman" w:cs="Times New Roman" w:eastAsia="Times New Roman" w:hAnsi="Times New Roman"/>
          <w:sz w:val="20"/>
          <w:szCs w:val="20"/>
          <w:color w:val="auto"/>
        </w:rPr>
        <w:t>” means, collectively, all international, foreign, federal, state, provincial, municipal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w:t>
      </w:r>
      <w:r>
        <w:rPr>
          <w:rFonts w:ascii="Times New Roman" w:cs="Times New Roman" w:eastAsia="Times New Roman" w:hAnsi="Times New Roman"/>
          <w:sz w:val="20"/>
          <w:szCs w:val="20"/>
          <w:color w:val="auto"/>
        </w:rPr>
        <w:t xml:space="preserve">” has the meaning specified in the </w:t>
      </w:r>
      <w:r>
        <w:rPr>
          <w:rFonts w:ascii="Times New Roman" w:cs="Times New Roman" w:eastAsia="Times New Roman" w:hAnsi="Times New Roman"/>
          <w:sz w:val="20"/>
          <w:szCs w:val="20"/>
          <w:u w:val="single" w:color="auto"/>
          <w:color w:val="auto"/>
        </w:rPr>
        <w:t>introductory paragraph</w:t>
      </w:r>
      <w:r>
        <w:rPr>
          <w:rFonts w:ascii="Times New Roman" w:cs="Times New Roman" w:eastAsia="Times New Roman" w:hAnsi="Times New Roman"/>
          <w:sz w:val="20"/>
          <w:szCs w:val="20"/>
          <w:color w:val="auto"/>
        </w:rPr>
        <w:t xml:space="preserve"> hereto and, as the context requires, includes each U.S. Revolving Credit Lender, each Global Revolving Credit Lender, each Term Lender, the U.S. Swing Line Lender and the Global Swing Line Lender. The term “Lender” shall include any Designated Lender.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Lender Parties</w:t>
      </w:r>
      <w:r>
        <w:rPr>
          <w:rFonts w:ascii="Times New Roman" w:cs="Times New Roman" w:eastAsia="Times New Roman" w:hAnsi="Times New Roman"/>
          <w:sz w:val="20"/>
          <w:szCs w:val="20"/>
          <w:color w:val="auto"/>
        </w:rPr>
        <w:t>” and “Lender Recipient Parties” mean, collectively, the Lenders, the Swing Line Lenders and the L/C Issuer.</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Lending Office</w:t>
      </w:r>
      <w:r>
        <w:rPr>
          <w:rFonts w:ascii="Times New Roman" w:cs="Times New Roman" w:eastAsia="Times New Roman" w:hAnsi="Times New Roman"/>
          <w:sz w:val="20"/>
          <w:szCs w:val="20"/>
          <w:color w:val="auto"/>
        </w:rPr>
        <w:t>” means, as to any Lender, the office, offices, branch, branches and/or Affiliate(s) of such Lender described as such in such Lender’s Administrative Questionnaire, or such other office, offices, branch, branches and/or Affiliate(s)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spacing w:after="0" w:line="185"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w:t>
      </w:r>
      <w:r>
        <w:rPr>
          <w:rFonts w:ascii="Times New Roman" w:cs="Times New Roman" w:eastAsia="Times New Roman" w:hAnsi="Times New Roman"/>
          <w:sz w:val="20"/>
          <w:szCs w:val="20"/>
          <w:color w:val="auto"/>
        </w:rPr>
        <w:t>” means any standby letter of credit issued hereunder providing for the payment of cash upon the honoring of a presentation thereunder. All Letters of Credit shall be issued in Dollars.</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Application</w:t>
      </w:r>
      <w:r>
        <w:rPr>
          <w:rFonts w:ascii="Times New Roman" w:cs="Times New Roman" w:eastAsia="Times New Roman" w:hAnsi="Times New Roman"/>
          <w:sz w:val="20"/>
          <w:szCs w:val="20"/>
          <w:color w:val="auto"/>
        </w:rPr>
        <w:t>” means an application and agreement for the issuance or amendment of a Letter of Credit in the form from time to time in use by the L/C Issuer.</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Expiration Date</w:t>
      </w:r>
      <w:r>
        <w:rPr>
          <w:rFonts w:ascii="Times New Roman" w:cs="Times New Roman" w:eastAsia="Times New Roman" w:hAnsi="Times New Roman"/>
          <w:sz w:val="20"/>
          <w:szCs w:val="20"/>
          <w:color w:val="auto"/>
        </w:rPr>
        <w:t>” means the day that is seven days prior to the Maturity Date then in effect (or, if such day is not a Business Day, the next preceding Business Day).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2.03(h)</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5" w:name="page206"/>
    <w:bookmarkEnd w:id="205"/>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Letter of Credit Sublimit</w:t>
      </w:r>
      <w:r>
        <w:rPr>
          <w:rFonts w:ascii="Times New Roman" w:cs="Times New Roman" w:eastAsia="Times New Roman" w:hAnsi="Times New Roman"/>
          <w:sz w:val="20"/>
          <w:szCs w:val="20"/>
          <w:color w:val="auto"/>
        </w:rPr>
        <w:t>” means an amount equal to $25,000,000. The Letter of Credit Sublimit is part of, and not in addition to, the U.S. Revolving Credit Facility.</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trust (deemed, statutory, constructive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w:t>
      </w:r>
      <w:r>
        <w:rPr>
          <w:rFonts w:ascii="Times New Roman" w:cs="Times New Roman" w:eastAsia="Times New Roman" w:hAnsi="Times New Roman"/>
          <w:sz w:val="20"/>
          <w:szCs w:val="20"/>
          <w:color w:val="auto"/>
        </w:rPr>
        <w:t xml:space="preserve">” means an extension of credit by a Lender to a Borrower under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in the form of a Committed Loan or a Swing Line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Loan.</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means this Agreement, each Designated Borrower Request and Assumption Agreement, each Note, each ESG Amendment, each Issuer Document,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the Fee Letter, the Company Guaranty, the Subsidiary Guaranty and the Collateral Documents.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Loan Parties</w:t>
      </w:r>
      <w:r>
        <w:rPr>
          <w:rFonts w:ascii="Times New Roman" w:cs="Times New Roman" w:eastAsia="Times New Roman" w:hAnsi="Times New Roman"/>
          <w:sz w:val="20"/>
          <w:szCs w:val="20"/>
          <w:color w:val="auto"/>
        </w:rPr>
        <w:t>” means, collectively, the Company, each Subsidiary Guarantor and each Designated Borrower.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Adverse Effect</w:t>
      </w:r>
      <w:r>
        <w:rPr>
          <w:rFonts w:ascii="Times New Roman" w:cs="Times New Roman" w:eastAsia="Times New Roman" w:hAnsi="Times New Roman"/>
          <w:sz w:val="20"/>
          <w:szCs w:val="20"/>
          <w:color w:val="auto"/>
        </w:rPr>
        <w:t>” means (a) a material adverse change in, or a material adverse effect on, the business, operations, property or financial condition of the Company and its Subsidiaries, taken as a whole; or (b) a material impairment of the ability of the Company and the Loan Parties, taken as a whole to perform their payment obligations under the Loan Documents.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Material Intellectual Property</w:t>
      </w:r>
      <w:r>
        <w:rPr>
          <w:rFonts w:ascii="Times New Roman" w:cs="Times New Roman" w:eastAsia="Times New Roman" w:hAnsi="Times New Roman"/>
          <w:sz w:val="20"/>
          <w:szCs w:val="20"/>
          <w:color w:val="auto"/>
        </w:rPr>
        <w:t>” means any Intellectual Property that is owned by the Company or any of its Subsidiaries, and is material to the business of the Company and its Subsidiaries, taken as a whole.</w:t>
      </w:r>
    </w:p>
    <w:p>
      <w:pPr>
        <w:spacing w:after="0" w:line="159"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Material Subsidiary</w:t>
      </w:r>
      <w:r>
        <w:rPr>
          <w:rFonts w:ascii="Times New Roman" w:cs="Times New Roman" w:eastAsia="Times New Roman" w:hAnsi="Times New Roman"/>
          <w:sz w:val="19"/>
          <w:szCs w:val="19"/>
          <w:color w:val="auto"/>
        </w:rPr>
        <w:t>” means (a) each Subsidiary of the Company that, as of the last day of the fiscal quarter of the Company most recently ended for which financial statements are available, had revenues or total assets for such quarter in excess of 5.0% of the consolidated revenues or total assets, as applicable, of the Company for such quarter or that is designated by the Company as a Material Subsidiary and (b) any group comprising Subsidiaries that each would not have been a Material Subsidiary under clause (a) but that, taken together, as of the last day of the fiscal quarter of the Company most recently ended for which financial statements are available, had revenues or total assets for such quarter in excess of 10.0% of the consolidated revenues or total assets, as applicable, of the Company for such quarter.</w:t>
      </w:r>
    </w:p>
    <w:p>
      <w:pPr>
        <w:spacing w:after="0" w:line="173"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 xml:space="preserve">” means December 22, 2026;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date is not a Business Day, the Maturity Date shall be the next preceding Business Day.</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Minimum Collateral Amount</w:t>
      </w:r>
      <w:r>
        <w:rPr>
          <w:rFonts w:ascii="Times New Roman" w:cs="Times New Roman" w:eastAsia="Times New Roman" w:hAnsi="Times New Roman"/>
          <w:sz w:val="20"/>
          <w:szCs w:val="20"/>
          <w:color w:val="auto"/>
        </w:rPr>
        <w:t xml:space="preserve">” means, at any time, (a)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(b) with respect to Cash Collateral consisting of cash or deposit account balances provided in accordance with the provisions of </w:t>
      </w:r>
      <w:r>
        <w:rPr>
          <w:rFonts w:ascii="Times New Roman" w:cs="Times New Roman" w:eastAsia="Times New Roman" w:hAnsi="Times New Roman"/>
          <w:sz w:val="20"/>
          <w:szCs w:val="20"/>
          <w:u w:val="single" w:color="auto"/>
          <w:color w:val="auto"/>
        </w:rPr>
        <w:t>Section 2.16(a)(i)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(a)(iii)</w:t>
      </w:r>
      <w:r>
        <w:rPr>
          <w:rFonts w:ascii="Times New Roman" w:cs="Times New Roman" w:eastAsia="Times New Roman" w:hAnsi="Times New Roman"/>
          <w:sz w:val="20"/>
          <w:szCs w:val="20"/>
          <w:color w:val="auto"/>
        </w:rPr>
        <w:t>, an amount equal to 100% of the Outstanding Amount of all L/C Obligations, and (c) otherwise, an amount determined by the Administrative Agent and the L/C Issuer in their sole discretion.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6" w:name="page207"/>
    <w:bookmarkEnd w:id="206"/>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Multiemployer Plan</w:t>
      </w:r>
      <w:r>
        <w:rPr>
          <w:rFonts w:ascii="Times New Roman" w:cs="Times New Roman" w:eastAsia="Times New Roman" w:hAnsi="Times New Roman"/>
          <w:sz w:val="20"/>
          <w:szCs w:val="20"/>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Multiple Employer Plan</w:t>
      </w:r>
      <w:r>
        <w:rPr>
          <w:rFonts w:ascii="Times New Roman" w:cs="Times New Roman" w:eastAsia="Times New Roman" w:hAnsi="Times New Roman"/>
          <w:sz w:val="20"/>
          <w:szCs w:val="20"/>
          <w:color w:val="auto"/>
        </w:rPr>
        <w:t>” means a Plan which has two or more contributing sponsors (including the Company or any ERISA Affiliate) at least two of whom are not under common control, as such a plan is described in Section 4064 of ERISA.</w:t>
      </w:r>
    </w:p>
    <w:p>
      <w:pPr>
        <w:spacing w:after="0" w:line="15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Net Cash Proceeds</w:t>
      </w:r>
      <w:r>
        <w:rPr>
          <w:rFonts w:ascii="Times New Roman" w:cs="Times New Roman" w:eastAsia="Times New Roman" w:hAnsi="Times New Roman"/>
          <w:sz w:val="20"/>
          <w:szCs w:val="20"/>
          <w:color w:val="auto"/>
        </w:rPr>
        <w:t xml:space="preserve">” means with respect to any Disposition by any Loan Party or any of their respective Subsidiaries, the excess, if any, of (a) the sum of cash and Cash Equivalents received in connection with such transaction (including any cash or Cash Equivalents received by way of deferred payment pursuant to, or by monetization of, a note receivable or otherwise, but only as and when so received) over (b) the sum of (i) the principal amount of any Indebtedness that is secured by the applicable asset or assets and that is required to be repaid in connection with such transaction (other than Indebtedness under the Loan Documents), (ii) the reasonable and customary out-of-pocket costs and expenses incurred by the Company or such Subsidiary in connection with such transaction and (iii) income taxes reasonably estimated to be actually payable within two years of the date of the relevant transaction as a result of any gain recognized in connection therewith;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amount of any estimated taxes pursuant to subclause (iii) exceeds the amount of taxes actually required to be paid in cash in respect of such Disposition, the aggregate amount of such excess shall constitute Net Cash Proceeds.</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Non-Consenting Lender</w:t>
      </w:r>
      <w:r>
        <w:rPr>
          <w:rFonts w:ascii="Times New Roman" w:cs="Times New Roman" w:eastAsia="Times New Roman" w:hAnsi="Times New Roman"/>
          <w:sz w:val="20"/>
          <w:szCs w:val="20"/>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(b) has been approved by the Required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2.03(b)(iv)</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Non-Public Lender</w:t>
      </w:r>
      <w:r>
        <w:rPr>
          <w:rFonts w:ascii="Times New Roman" w:cs="Times New Roman" w:eastAsia="Times New Roman" w:hAnsi="Times New Roman"/>
          <w:sz w:val="20"/>
          <w:szCs w:val="20"/>
          <w:color w:val="auto"/>
        </w:rPr>
        <w:t>” means: (i) until interpretation of “public” as referred to in the CRD IV by the relevant authority/ies: an entity that provides repayable funds to a Dutch Borrower for a minimum initial amount of EUR 100,000 (or its equivalent in another currency) or an entity otherwise qualifying as not forming part of the public; and (ii) following the publication of an interpretation of “public” as referred to in the CRD IV by the relevant authority/ies: such amount or such criterion as a result of which such entity shall qualify as not forming part of the public.</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Non-SOFR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a Term Note or a Revolving Note, as the context may require.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Notice of Loan Prepayment</w:t>
      </w:r>
      <w:r>
        <w:rPr>
          <w:rFonts w:ascii="Times New Roman" w:cs="Times New Roman" w:eastAsia="Times New Roman" w:hAnsi="Times New Roman"/>
          <w:sz w:val="20"/>
          <w:szCs w:val="20"/>
          <w:color w:val="auto"/>
        </w:rPr>
        <w:t xml:space="preserve">” means a notice of prepayment with respect to a Loan, which shall be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means all advances to, and debts, liabilities and obligations of any Loan Party or any Subsidiary of any Loan Party arising under any Loan Document or otherwise with respect to any Loan, Letter of Credit or Secured Ancillary Agreement, in each case whether direct or indirect (including those acquired by assumption), absolute or contingent, due or to become due, now existing or hereafter arising and including interest and fees that accrue after the commencement by or against any Loan Party,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jc w:val="both"/>
        <w:spacing w:after="0" w:line="269" w:lineRule="auto"/>
        <w:rPr>
          <w:sz w:val="20"/>
          <w:szCs w:val="20"/>
          <w:color w:val="auto"/>
        </w:rPr>
      </w:pPr>
      <w:r>
        <w:rPr>
          <w:rFonts w:ascii="Times New Roman" w:cs="Times New Roman" w:eastAsia="Times New Roman" w:hAnsi="Times New Roman"/>
          <w:sz w:val="20"/>
          <w:szCs w:val="20"/>
          <w:color w:val="auto"/>
        </w:rPr>
        <w:t>Subsidiary of any Loan Party or any Affiliate thereof of any proceeding under any Debtor Relief Laws naming such Person as the debtor in such proceeding, regardless of whether such interest and fees are allowed claims in such proceeding.</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Off-Balance Sheet Liability</w:t>
      </w:r>
      <w:r>
        <w:rPr>
          <w:rFonts w:ascii="Times New Roman" w:cs="Times New Roman" w:eastAsia="Times New Roman" w:hAnsi="Times New Roman"/>
          <w:sz w:val="20"/>
          <w:szCs w:val="20"/>
          <w:color w:val="auto"/>
        </w:rPr>
        <w:t>” of a Person means (a) any repurchase obligation or liability of such Person with respect to accounts or notes receivable sold by such Person as part of a factoring, securitization or similar transaction and not in connection with the compromise, settlement or collection thereof; or (b) any indebtedness, liability or obligation arising with respect to any other transaction which is the functional equivalent of or takes the place of any Indebtedness described in paragraph (a) or (g) of the definition thereof, but which does not constitute a liability on the balance sheets of such Person (other than operating leases).</w:t>
      </w:r>
    </w:p>
    <w:p>
      <w:pPr>
        <w:spacing w:after="0" w:line="18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Organization Documents</w:t>
      </w:r>
      <w:r>
        <w:rPr>
          <w:rFonts w:ascii="Times New Roman" w:cs="Times New Roman" w:eastAsia="Times New Roman" w:hAnsi="Times New Roman"/>
          <w:sz w:val="19"/>
          <w:szCs w:val="19"/>
          <w:color w:val="auto"/>
        </w:rPr>
        <w:t>” means (a) with respect to any corporation, the certificate or articles of incorporation and the bylaws (or equivalent or comparable constitutive documents with respect to any non-U.S. jurisdiction, including without limitation in the case of any Jersey Borrower which is a company, its certificate of incorporation (and any certificates of incorporation on change of name), the consents(s) issued to it under the Control of Borrowing (Jersey) Law 1958) and its memorandum and articles of association);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incorporation or establishment with the applicable Governmental Authority in the jurisdiction of its formation or organization, incorporation or establishment and, if applicable, any certificate or articles of formation or organization, incorporation or establishment of such entity.</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3.06(b)</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Outstanding Amount</w:t>
      </w:r>
      <w:r>
        <w:rPr>
          <w:rFonts w:ascii="Times New Roman" w:cs="Times New Roman" w:eastAsia="Times New Roman" w:hAnsi="Times New Roman"/>
          <w:sz w:val="20"/>
          <w:szCs w:val="20"/>
          <w:color w:val="auto"/>
        </w:rPr>
        <w:t>” means (a) with respect to Committed Loans on any date, the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8" w:name="page209"/>
    <w:bookmarkEnd w:id="208"/>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Overnight Rate</w:t>
      </w:r>
      <w:r>
        <w:rPr>
          <w:rFonts w:ascii="Times New Roman" w:cs="Times New Roman" w:eastAsia="Times New Roman" w:hAnsi="Times New Roman"/>
          <w:sz w:val="19"/>
          <w:szCs w:val="19"/>
          <w:color w:val="auto"/>
        </w:rPr>
        <w:t>” means, for any day, (a) with respect to any amount denominated in Dollars, the greater of (i) the Federal Funds Rate and (ii) an overnight rate determined by the Administrative Agent, the L/C Issuer, the U.S. Swing Line Lender or the Global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Participating Member State</w:t>
      </w:r>
      <w:r>
        <w:rPr>
          <w:rFonts w:ascii="Times New Roman" w:cs="Times New Roman" w:eastAsia="Times New Roman" w:hAnsi="Times New Roman"/>
          <w:sz w:val="20"/>
          <w:szCs w:val="20"/>
          <w:color w:val="auto"/>
        </w:rPr>
        <w:t>” means any member state of the European Union that has the Euro as its lawful currency in accordance with legislation of the European Union relating to Economic and Monetary Union.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PBGC</w:t>
      </w:r>
      <w:r>
        <w:rPr>
          <w:rFonts w:ascii="Times New Roman" w:cs="Times New Roman" w:eastAsia="Times New Roman" w:hAnsi="Times New Roman"/>
          <w:sz w:val="20"/>
          <w:szCs w:val="20"/>
          <w:color w:val="auto"/>
        </w:rPr>
        <w:t>” means the Pension Benefit Guaranty Corporation.</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Act</w:t>
      </w:r>
      <w:r>
        <w:rPr>
          <w:rFonts w:ascii="Times New Roman" w:cs="Times New Roman" w:eastAsia="Times New Roman" w:hAnsi="Times New Roman"/>
          <w:sz w:val="22"/>
          <w:szCs w:val="22"/>
          <w:color w:val="auto"/>
        </w:rPr>
        <w:t>” means the Pension Protection Act of 2006.</w:t>
      </w:r>
    </w:p>
    <w:p>
      <w:pPr>
        <w:spacing w:after="0" w:line="14"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Funding Rules</w:t>
      </w:r>
      <w:r>
        <w:rPr>
          <w:rFonts w:ascii="Times New Roman" w:cs="Times New Roman" w:eastAsia="Times New Roman" w:hAnsi="Times New Roman"/>
          <w:sz w:val="22"/>
          <w:szCs w:val="22"/>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spacing w:after="0" w:line="2"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 Plan</w:t>
      </w:r>
      <w:r>
        <w:rPr>
          <w:rFonts w:ascii="Times New Roman" w:cs="Times New Roman" w:eastAsia="Times New Roman" w:hAnsi="Times New Roman"/>
          <w:sz w:val="22"/>
          <w:szCs w:val="22"/>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2"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Pensions Regulator</w:t>
      </w:r>
      <w:r>
        <w:rPr>
          <w:rFonts w:ascii="Times New Roman" w:cs="Times New Roman" w:eastAsia="Times New Roman" w:hAnsi="Times New Roman"/>
          <w:sz w:val="22"/>
          <w:szCs w:val="22"/>
          <w:color w:val="auto"/>
        </w:rPr>
        <w:t>” means the body corporate called the Pensions Regulator established under Part I of the Pensions Act 2004 (UK).</w:t>
      </w:r>
    </w:p>
    <w:p>
      <w:pPr>
        <w:spacing w:after="0" w:line="1" w:lineRule="exact"/>
        <w:rPr>
          <w:sz w:val="20"/>
          <w:szCs w:val="20"/>
          <w:color w:val="auto"/>
        </w:rPr>
      </w:pPr>
    </w:p>
    <w:p>
      <w:pPr>
        <w:jc w:val="both"/>
        <w:ind w:right="20" w:firstLine="749"/>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Perfection Certificate</w:t>
      </w:r>
      <w:r>
        <w:rPr>
          <w:rFonts w:ascii="Times New Roman" w:cs="Times New Roman" w:eastAsia="Times New Roman" w:hAnsi="Times New Roman"/>
          <w:sz w:val="22"/>
          <w:szCs w:val="22"/>
          <w:color w:val="auto"/>
        </w:rPr>
        <w:t xml:space="preserve">” shall mean a certificate in the form of </w:t>
      </w: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 xml:space="preserve"> or any other form approved by the Administrative Agent, as the same shall be supplemented from time to time.</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Factoring Program</w:t>
      </w:r>
      <w:r>
        <w:rPr>
          <w:rFonts w:ascii="Times New Roman" w:cs="Times New Roman" w:eastAsia="Times New Roman" w:hAnsi="Times New Roman"/>
          <w:sz w:val="22"/>
          <w:szCs w:val="22"/>
          <w:color w:val="auto"/>
        </w:rPr>
        <w:t>” means the sale of any Receivables and Related Assets in connection with a Factoring Program; provided that (a) the documents entered into by any Loan Party or its Subsidiary pursuant to a Factoring Program shall be on customary terms and condition and (b) all such sales shall be without recourse other than customary recourse terms provided for in the applicable documentation (and solely in connection with the customary representations made with respect to the applicable Receivables and Related Assets) and the purchase price shall be paid in cash to such Loan Party or its Subsidiary at the time of the sale.</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Lender Facilities</w:t>
      </w:r>
      <w:r>
        <w:rPr>
          <w:rFonts w:ascii="Times New Roman" w:cs="Times New Roman" w:eastAsia="Times New Roman" w:hAnsi="Times New Roman"/>
          <w:sz w:val="22"/>
          <w:szCs w:val="22"/>
          <w:color w:val="auto"/>
        </w:rPr>
        <w:t>” means guarantee, trade, letter of credit, short-term working capital or similar facilities, in an aggregate principal amount at any time outstanding for all such guarantee, trade, letter of credit, short-term working capital or similar facilities not to exceed the Dollar Equivalent of $10,000,000 but only if and for so long as the documentation evidencing such guarantee, trade, letter of credit, short-term working capital or similar facility specifically references this Agreement and provides that it is intended to be a Permitted Lender Facility hereunder.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9" w:name="page210"/>
    <w:bookmarkEnd w:id="209"/>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xml:space="preserve">” means the Liens specified in all clauses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jc w:val="both"/>
        <w:ind w:firstLine="1018"/>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natural person, corporation, limited liability company, unlimited liability company, trust, joint venture, association, company, partnership, Governmental Authority or other entity.</w:t>
      </w:r>
    </w:p>
    <w:p>
      <w:pPr>
        <w:spacing w:after="0" w:line="18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Qualified Securitization Facility</w:t>
      </w:r>
      <w:r>
        <w:rPr>
          <w:rFonts w:ascii="Times New Roman" w:cs="Times New Roman" w:eastAsia="Times New Roman" w:hAnsi="Times New Roman"/>
          <w:sz w:val="19"/>
          <w:szCs w:val="19"/>
          <w:color w:val="auto"/>
        </w:rPr>
        <w:t>” means any Securitization Facility (a) constituting a securitization financing facility that meets the following conditions: (i) the Company will have determined in good faith that such Securitization Facility (including financing terms, covenants, termination events and other provisions) is in the aggregate economically fair and reasonable to the Company and the applicable Subsidiary or Securitization Subsidiary, and (ii) all sales or contributions of Securitization Assets and related assets to the applicable Person or Securitization Subsidiary are made at Fair Market Value; or (b) constituting a receivables financing facility; in the case of clause (a) and (b) above, which does not give rise to or constitute a liability or indebtedness on the balance sheet of the Company or any of its Subsidiaries.</w:t>
      </w:r>
    </w:p>
    <w:p>
      <w:pPr>
        <w:spacing w:after="0" w:line="17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Rate Determination Date</w:t>
      </w:r>
      <w:r>
        <w:rPr>
          <w:rFonts w:ascii="Times New Roman" w:cs="Times New Roman" w:eastAsia="Times New Roman" w:hAnsi="Times New Roman"/>
          <w:sz w:val="20"/>
          <w:szCs w:val="20"/>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jc w:val="both"/>
        <w:ind w:firstLine="101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and Related Assets</w:t>
      </w:r>
      <w:r>
        <w:rPr>
          <w:rFonts w:ascii="Times New Roman" w:cs="Times New Roman" w:eastAsia="Times New Roman" w:hAnsi="Times New Roman"/>
          <w:sz w:val="20"/>
          <w:szCs w:val="20"/>
          <w:color w:val="auto"/>
        </w:rPr>
        <w:t>” means Accounts of a Customer owing to the Company or any of its Subsidiaries arising from a sale of Inventory or the rendering of services in the ordinary course of business, together with (a) all property subject thereto from time to time purporting to secure payment of such obligations, whether pursuant to the contract related to such obligations or otherwise, together with all financing statements describing any collateral securing such obligations; (b) all rights to payment of any interest, finance charges, freight charges and other obligations related thereto; (c) all supporting obligations, including but not limited to, all guaranties, insurance and other agreements or arrangements of whatever character from time to time supporting or securing payment of such obligations whether pursuant to the contract related to such obligations or otherwise; (d) all contracts, chattel paper, instruments and other documents, and other information relating to such obligations; and (e) collections and proceeds with respect to the foregoing.</w:t>
      </w:r>
    </w:p>
    <w:p>
      <w:pPr>
        <w:spacing w:after="0" w:line="189" w:lineRule="exact"/>
        <w:rPr>
          <w:sz w:val="20"/>
          <w:szCs w:val="20"/>
          <w:color w:val="auto"/>
        </w:rPr>
      </w:pPr>
    </w:p>
    <w:p>
      <w:pPr>
        <w:jc w:val="both"/>
        <w:ind w:right="20" w:firstLine="101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Receivables Subsidiary</w:t>
      </w:r>
      <w:r>
        <w:rPr>
          <w:rFonts w:ascii="Times New Roman" w:cs="Times New Roman" w:eastAsia="Times New Roman" w:hAnsi="Times New Roman"/>
          <w:sz w:val="20"/>
          <w:szCs w:val="20"/>
          <w:color w:val="auto"/>
        </w:rPr>
        <w:t>” means any Subsidiary established in connection with a receivables financing permitted hereunder (including any Permitted Factoring Program or Qualified Securitization Facility) which is not permitted by the terms of such receivables financing to guarantee the Obligations or provide Collateral, including any Securitization Subsidiary.</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Recipient</w:t>
      </w:r>
      <w:r>
        <w:rPr>
          <w:rFonts w:ascii="Times New Roman" w:cs="Times New Roman" w:eastAsia="Times New Roman" w:hAnsi="Times New Roman"/>
          <w:sz w:val="20"/>
          <w:szCs w:val="20"/>
          <w:color w:val="auto"/>
        </w:rPr>
        <w:t>” means the Administrative Agent, any Lender, the L/C Issuer or any other recipient of any payment to be made by or on account of any obligation of any Loan Party hereunder.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0" w:name="page211"/>
    <w:bookmarkEnd w:id="210"/>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10.06(c)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0D0D0D"/>
        </w:rPr>
        <w:t>“</w:t>
      </w:r>
      <w:r>
        <w:rPr>
          <w:rFonts w:ascii="Times New Roman" w:cs="Times New Roman" w:eastAsia="Times New Roman" w:hAnsi="Times New Roman"/>
          <w:sz w:val="20"/>
          <w:szCs w:val="20"/>
          <w:u w:val="single" w:color="auto"/>
          <w:color w:val="0D0D0D"/>
        </w:rPr>
        <w:t>Relevant Rate</w:t>
      </w:r>
      <w:r>
        <w:rPr>
          <w:rFonts w:ascii="Times New Roman" w:cs="Times New Roman" w:eastAsia="Times New Roman" w:hAnsi="Times New Roman"/>
          <w:sz w:val="20"/>
          <w:szCs w:val="20"/>
          <w:color w:val="0D0D0D"/>
        </w:rPr>
        <w:t xml:space="preserve">” means with respect to any Credit Extension </w:t>
      </w:r>
      <w:r>
        <w:rPr>
          <w:rFonts w:ascii="Times New Roman" w:cs="Times New Roman" w:eastAsia="Times New Roman" w:hAnsi="Times New Roman"/>
          <w:sz w:val="20"/>
          <w:szCs w:val="20"/>
          <w:color w:val="000000"/>
        </w:rPr>
        <w:t>denominated in (a) Dollars, Term SOFR, (b) Sterling, SONIA, (c)</w:t>
      </w:r>
      <w:r>
        <w:rPr>
          <w:rFonts w:ascii="Times New Roman" w:cs="Times New Roman" w:eastAsia="Times New Roman" w:hAnsi="Times New Roman"/>
          <w:sz w:val="20"/>
          <w:szCs w:val="20"/>
          <w:color w:val="0D0D0D"/>
        </w:rPr>
        <w:t xml:space="preserve"> </w:t>
      </w:r>
      <w:r>
        <w:rPr>
          <w:rFonts w:ascii="Times New Roman" w:cs="Times New Roman" w:eastAsia="Times New Roman" w:hAnsi="Times New Roman"/>
          <w:sz w:val="20"/>
          <w:szCs w:val="20"/>
          <w:color w:val="000000"/>
        </w:rPr>
        <w:t>Euros, EURIBOR or €STR, as applicable, and (d) Canadian Dollars, the CDOR Rate, as applicable.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Reportable Event</w:t>
      </w:r>
      <w:r>
        <w:rPr>
          <w:rFonts w:ascii="Times New Roman" w:cs="Times New Roman" w:eastAsia="Times New Roman" w:hAnsi="Times New Roman"/>
          <w:sz w:val="20"/>
          <w:szCs w:val="20"/>
          <w:color w:val="auto"/>
        </w:rPr>
        <w:t>” means any of the events set forth in Section 4043(c) of ERISA, other than events for which the 30 day notice period has been waived.</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Request for Credit Extension</w:t>
      </w:r>
      <w:r>
        <w:rPr>
          <w:rFonts w:ascii="Times New Roman" w:cs="Times New Roman" w:eastAsia="Times New Roman" w:hAnsi="Times New Roman"/>
          <w:sz w:val="20"/>
          <w:szCs w:val="20"/>
          <w:color w:val="auto"/>
        </w:rPr>
        <w:t>” means (a) with respect to a Borrowing, conversion or continuation of Committed Loans, a Committed Loan Notice, (b) with respect to an L/C Credit Extension, a Letter of Credit Application, and (c) with respect to a Swing Line Borrowing, a Swing Line Loan Notice.</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Lenders</w:t>
      </w:r>
      <w:r>
        <w:rPr>
          <w:rFonts w:ascii="Times New Roman" w:cs="Times New Roman" w:eastAsia="Times New Roman" w:hAnsi="Times New Roman"/>
          <w:sz w:val="20"/>
          <w:szCs w:val="20"/>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Rescindable Amount</w:t>
      </w:r>
      <w:r>
        <w:rPr>
          <w:rFonts w:ascii="Times New Roman" w:cs="Times New Roman" w:eastAsia="Times New Roman" w:hAnsi="Times New Roman"/>
          <w:sz w:val="20"/>
          <w:szCs w:val="20"/>
          <w:color w:val="auto"/>
        </w:rPr>
        <w:t xml:space="preserve">” has the meaning as defined in </w:t>
      </w:r>
      <w:r>
        <w:rPr>
          <w:rFonts w:ascii="Times New Roman" w:cs="Times New Roman" w:eastAsia="Times New Roman" w:hAnsi="Times New Roman"/>
          <w:sz w:val="20"/>
          <w:szCs w:val="20"/>
          <w:u w:val="single" w:color="auto"/>
          <w:color w:val="auto"/>
        </w:rPr>
        <w:t>Section 2.12(b)(ii)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Responsible Officer</w:t>
      </w:r>
      <w:r>
        <w:rPr>
          <w:rFonts w:ascii="Times New Roman" w:cs="Times New Roman" w:eastAsia="Times New Roman" w:hAnsi="Times New Roman"/>
          <w:sz w:val="20"/>
          <w:szCs w:val="20"/>
          <w:color w:val="auto"/>
        </w:rPr>
        <w:t xml:space="preserve">” means (a) the chief executive officer, president, statutory director, chief financial officer, chief accounting officer, treasurer, assistant treasurer or controller of a Loan Party; (b) solely for purposes of the delivery of incumbency certificates pursuant to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secretary or any assistant secretary of a Loan Party; and (c) solely for purposes of notices given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any other officer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spacing w:after="0" w:line="19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1" w:name="page212"/>
    <w:bookmarkEnd w:id="211"/>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Revaluation Date</w:t>
      </w:r>
      <w:r>
        <w:rPr>
          <w:rFonts w:ascii="Times New Roman" w:cs="Times New Roman" w:eastAsia="Times New Roman" w:hAnsi="Times New Roman"/>
          <w:sz w:val="20"/>
          <w:szCs w:val="20"/>
          <w:color w:val="auto"/>
        </w:rPr>
        <w:t xml:space="preserve">” means each of the following: (a) each date of a Borrowing of an Alternative Currency Term Rate Loan or a Global Swing Line Loan; (b) each date of a continuation of an Alternative Currency Term Rate Loan pursuant to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(c) with respect to an Alternative Currency Daily Rate Loan, each Interest Payment Date; and (d) such additional dates as the Administrative Agent shall determine or the Required Lenders shall require.</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Borrowing</w:t>
      </w:r>
      <w:r>
        <w:rPr>
          <w:rFonts w:ascii="Times New Roman" w:cs="Times New Roman" w:eastAsia="Times New Roman" w:hAnsi="Times New Roman"/>
          <w:sz w:val="20"/>
          <w:szCs w:val="20"/>
          <w:color w:val="auto"/>
        </w:rPr>
        <w:t xml:space="preserve">” means a borrowing consisting of simultaneous U.S. Revolving Credit Loans or Global Revolving Credit Loans of the same Type and, in the case of Term SOFR Loans or Alternative Currency Term Rate Loans, having the same Interest Period made by each of the applicable Revolving Lenders pursuant to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Commitment</w:t>
      </w:r>
      <w:r>
        <w:rPr>
          <w:rFonts w:ascii="Times New Roman" w:cs="Times New Roman" w:eastAsia="Times New Roman" w:hAnsi="Times New Roman"/>
          <w:sz w:val="20"/>
          <w:szCs w:val="20"/>
          <w:color w:val="auto"/>
        </w:rPr>
        <w:t>” means a U.S. Revolving Credit Commitment and/or a Global Revolving Credit Commitment, as the context may require.</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Exposure</w:t>
      </w:r>
      <w:r>
        <w:rPr>
          <w:rFonts w:ascii="Times New Roman" w:cs="Times New Roman" w:eastAsia="Times New Roman" w:hAnsi="Times New Roman"/>
          <w:sz w:val="20"/>
          <w:szCs w:val="20"/>
          <w:color w:val="auto"/>
        </w:rPr>
        <w:t>” means, as to any Revolving Lender at any time, the aggregate principal amount at such time of its outstanding Revolving Loans and such Revolving Lender’s participation in L/C Obligations and Swing Line Loans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Facility</w:t>
      </w:r>
      <w:r>
        <w:rPr>
          <w:rFonts w:ascii="Times New Roman" w:cs="Times New Roman" w:eastAsia="Times New Roman" w:hAnsi="Times New Roman"/>
          <w:sz w:val="20"/>
          <w:szCs w:val="20"/>
          <w:color w:val="auto"/>
        </w:rPr>
        <w:t>” means the U.S. Revolving Credit Facility and/or the Global Revolving Credit Facility, as the context may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Lender</w:t>
      </w:r>
      <w:r>
        <w:rPr>
          <w:rFonts w:ascii="Times New Roman" w:cs="Times New Roman" w:eastAsia="Times New Roman" w:hAnsi="Times New Roman"/>
          <w:sz w:val="20"/>
          <w:szCs w:val="20"/>
          <w:color w:val="auto"/>
        </w:rPr>
        <w:t>” means a U.S. Revolving Credit Lender and/or a Global Revolving Credit Lender,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Loan</w:t>
      </w:r>
      <w:r>
        <w:rPr>
          <w:rFonts w:ascii="Times New Roman" w:cs="Times New Roman" w:eastAsia="Times New Roman" w:hAnsi="Times New Roman"/>
          <w:sz w:val="20"/>
          <w:szCs w:val="20"/>
          <w:color w:val="auto"/>
        </w:rPr>
        <w:t>” means a U.S. Revolving Credit Loan and/or a Global Revolving Credit Loan, as the context may require.</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Note</w:t>
      </w:r>
      <w:r>
        <w:rPr>
          <w:rFonts w:ascii="Times New Roman" w:cs="Times New Roman" w:eastAsia="Times New Roman" w:hAnsi="Times New Roman"/>
          <w:sz w:val="20"/>
          <w:szCs w:val="20"/>
          <w:color w:val="auto"/>
        </w:rPr>
        <w:t xml:space="preserve">” means a promissory note made by the Borrowers in favor of a Revolving Lender evidencing Revolving Loans or Swing Line Loans, as the case may be, made by such Revolving Lender,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S&amp;P</w:t>
      </w:r>
      <w:r>
        <w:rPr>
          <w:rFonts w:ascii="Times New Roman" w:cs="Times New Roman" w:eastAsia="Times New Roman" w:hAnsi="Times New Roman"/>
          <w:sz w:val="20"/>
          <w:szCs w:val="20"/>
          <w:color w:val="auto"/>
        </w:rPr>
        <w:t>” means S&amp;P Global Ratings and any successor to its rating agency business.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Same Day Funds</w:t>
      </w:r>
      <w:r>
        <w:rPr>
          <w:rFonts w:ascii="Times New Roman" w:cs="Times New Roman" w:eastAsia="Times New Roman" w:hAnsi="Times New Roman"/>
          <w:sz w:val="20"/>
          <w:szCs w:val="20"/>
          <w:color w:val="auto"/>
        </w:rPr>
        <w:t>” means (a) with respect to disbursements and payments in Dollars, immediately available funds, and (b) with respect to disbursements and payments in an Alternative Currency, same day or other funds as may be determined by the Administrative Agent to be customary in the place of disbursement or payment for the settlement of international banking transactions in the relevant Alternative Currency.</w:t>
      </w:r>
    </w:p>
    <w:p>
      <w:pPr>
        <w:spacing w:after="0" w:line="18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Sanction(s)</w:t>
      </w:r>
      <w:r>
        <w:rPr>
          <w:rFonts w:ascii="Times New Roman" w:cs="Times New Roman" w:eastAsia="Times New Roman" w:hAnsi="Times New Roman"/>
          <w:sz w:val="20"/>
          <w:szCs w:val="20"/>
          <w:color w:val="auto"/>
        </w:rPr>
        <w:t>” means any sanction administered or enforced by the United States Government (including, without limitation, OFAC), the United Nations Security Council, the European Union, His Majesty’s Treasury (“</w:t>
      </w:r>
      <w:r>
        <w:rPr>
          <w:rFonts w:ascii="Times New Roman" w:cs="Times New Roman" w:eastAsia="Times New Roman" w:hAnsi="Times New Roman"/>
          <w:sz w:val="20"/>
          <w:szCs w:val="20"/>
          <w:u w:val="single" w:color="auto"/>
          <w:color w:val="auto"/>
        </w:rPr>
        <w:t>HMT</w:t>
      </w:r>
      <w:r>
        <w:rPr>
          <w:rFonts w:ascii="Times New Roman" w:cs="Times New Roman" w:eastAsia="Times New Roman" w:hAnsi="Times New Roman"/>
          <w:sz w:val="20"/>
          <w:szCs w:val="20"/>
          <w:color w:val="auto"/>
        </w:rPr>
        <w:t>”), the Government of Canada or other relevant sanctions authority.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means the Securities and Exchange Commission, or any Governmental Authority succeeding to any of its principal functions.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Second Amendment Effective Date</w:t>
      </w:r>
      <w:r>
        <w:rPr>
          <w:rFonts w:ascii="Times New Roman" w:cs="Times New Roman" w:eastAsia="Times New Roman" w:hAnsi="Times New Roman"/>
          <w:sz w:val="20"/>
          <w:szCs w:val="20"/>
          <w:color w:val="auto"/>
        </w:rPr>
        <w:t>” means August 22, 2023.</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means the Secured Overnight Financing Rate as administered by the Federal Reserve Bank of New York (or a successor administrator).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2" w:name="page213"/>
    <w:bookmarkEnd w:id="21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Adjustment</w:t>
      </w:r>
      <w:r>
        <w:rPr>
          <w:rFonts w:ascii="Times New Roman" w:cs="Times New Roman" w:eastAsia="Times New Roman" w:hAnsi="Times New Roman"/>
          <w:sz w:val="20"/>
          <w:szCs w:val="20"/>
          <w:color w:val="auto"/>
        </w:rPr>
        <w:t>” means 0.10% (10 basis points).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Ancillary Agreements</w:t>
      </w:r>
      <w:r>
        <w:rPr>
          <w:rFonts w:ascii="Times New Roman" w:cs="Times New Roman" w:eastAsia="Times New Roman" w:hAnsi="Times New Roman"/>
          <w:sz w:val="20"/>
          <w:szCs w:val="20"/>
          <w:color w:val="auto"/>
        </w:rPr>
        <w:t>” means, collectively, any and all Secured Cash Management Agreements, Secured Hedge Agreements and Secured Other Facilities.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Ancillary Lenders</w:t>
      </w:r>
      <w:r>
        <w:rPr>
          <w:rFonts w:ascii="Times New Roman" w:cs="Times New Roman" w:eastAsia="Times New Roman" w:hAnsi="Times New Roman"/>
          <w:sz w:val="20"/>
          <w:szCs w:val="20"/>
          <w:color w:val="auto"/>
        </w:rPr>
        <w:t>” means, collectively, the Cash Management Banks, the Hedge Banks and the Secured Facility Banks.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Cash Management Agreement</w:t>
      </w:r>
      <w:r>
        <w:rPr>
          <w:rFonts w:ascii="Times New Roman" w:cs="Times New Roman" w:eastAsia="Times New Roman" w:hAnsi="Times New Roman"/>
          <w:sz w:val="20"/>
          <w:szCs w:val="20"/>
          <w:color w:val="auto"/>
        </w:rPr>
        <w:t>” means any Cash Management Agreement that is entered into by and between a Loan Party or any Subsidiary of any Loan Party and any Cash Management Bank.</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Facility Bank</w:t>
      </w:r>
      <w:r>
        <w:rPr>
          <w:rFonts w:ascii="Times New Roman" w:cs="Times New Roman" w:eastAsia="Times New Roman" w:hAnsi="Times New Roman"/>
          <w:sz w:val="20"/>
          <w:szCs w:val="20"/>
          <w:color w:val="auto"/>
        </w:rPr>
        <w:t>” means any Person that entered (or will) enter into a Permitted Lender Facility with a Loan Party, if such Person was (or is) a Lender or an Affiliate of a Lender at the time it entered (or enters) into such Permitted Lender Facility.</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Hedge Agreement</w:t>
      </w:r>
      <w:r>
        <w:rPr>
          <w:rFonts w:ascii="Times New Roman" w:cs="Times New Roman" w:eastAsia="Times New Roman" w:hAnsi="Times New Roman"/>
          <w:sz w:val="20"/>
          <w:szCs w:val="20"/>
          <w:color w:val="auto"/>
        </w:rPr>
        <w:t xml:space="preserve">” means any Swap Contract permitted under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that is entered into by and between a Loan Party or any Subsidiary of any Loan Party and any Hedge Bank.</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Other Facilities</w:t>
      </w:r>
      <w:r>
        <w:rPr>
          <w:rFonts w:ascii="Times New Roman" w:cs="Times New Roman" w:eastAsia="Times New Roman" w:hAnsi="Times New Roman"/>
          <w:sz w:val="20"/>
          <w:szCs w:val="20"/>
          <w:color w:val="auto"/>
        </w:rPr>
        <w:t xml:space="preserve">” means any Permitted Lender Facility that is entered into by and between a Loan Party and any Secured Facility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no Permitted Lender Facility shall be a Secured Other Facility unless the Administrative Agent has received written notice thereof, together with such supporting documentation as the Administrative Agent may request; and (b) any such Permitted Lender Facility shall cease to be a Secured Other Facility if the Administrative Agent receives written notice thereof, in each case such notice to be provided by the Company and the applicable Secured Facility Bank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Secured Parties</w:t>
      </w:r>
      <w:r>
        <w:rPr>
          <w:rFonts w:ascii="Times New Roman" w:cs="Times New Roman" w:eastAsia="Times New Roman" w:hAnsi="Times New Roman"/>
          <w:sz w:val="20"/>
          <w:szCs w:val="20"/>
          <w:color w:val="auto"/>
        </w:rPr>
        <w:t xml:space="preserve">” means, collectively, the Administrative Agent, the Lenders, the L/C Issuer, the Secured Ancillary Lenders, each co-agent or sub-agent appointed by the Administrative Agent from time to time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and the other Persons the Obligations owing to which are or are purported to be secured by the Collateral under the terms of one or more of the Collateral Documents.</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Assets</w:t>
      </w:r>
      <w:r>
        <w:rPr>
          <w:rFonts w:ascii="Times New Roman" w:cs="Times New Roman" w:eastAsia="Times New Roman" w:hAnsi="Times New Roman"/>
          <w:sz w:val="20"/>
          <w:szCs w:val="20"/>
          <w:color w:val="auto"/>
        </w:rPr>
        <w:t>” means (a) the accounts receivable, royalty or other revenue streams and other rights to payment and other assets related thereto subject to a Qualified Securitization Facility and the proceeds thereof; and (b) contract rights, lockbox accounts and records with respect to such accounts receivable and any other assets customarily transferred together with accounts receivable in a securitization financing.</w:t>
      </w:r>
    </w:p>
    <w:p>
      <w:pPr>
        <w:spacing w:after="0" w:line="18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Facility</w:t>
      </w:r>
      <w:r>
        <w:rPr>
          <w:rFonts w:ascii="Times New Roman" w:cs="Times New Roman" w:eastAsia="Times New Roman" w:hAnsi="Times New Roman"/>
          <w:sz w:val="20"/>
          <w:szCs w:val="20"/>
          <w:color w:val="auto"/>
        </w:rPr>
        <w:t>” means any transaction or series of securitization financings that may be entered into by the Borrowers or any Subsidiary pursuant to which such Borrower or any such Subsidiary may sell, convey or otherwise transfer, or may grant a security interest in, Securitization Assets to either (a) a Person that is not a Borrower or a Subsidiary or (b) a Securitization Subsidiary that in turn sells such Securitization Assets to a Person that is not a Borrower or a Subsidiary, or may grant a security interest in, any Securitization Assets of a Borrower or any of their Subsidiaries.</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Fees</w:t>
      </w:r>
      <w:r>
        <w:rPr>
          <w:rFonts w:ascii="Times New Roman" w:cs="Times New Roman" w:eastAsia="Times New Roman" w:hAnsi="Times New Roman"/>
          <w:sz w:val="20"/>
          <w:szCs w:val="20"/>
          <w:color w:val="auto"/>
        </w:rPr>
        <w:t>” means distributions or payments made directly or by means of discounts with respect to any participation interest issued or sold in connection with, and other fees and expenses (including reasonable fees and expenses of legal counsel) paid to a Person that is not a Securitization Subsidiary in connection with, any Qualified Securitization Facility.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3" w:name="page214"/>
    <w:bookmarkEnd w:id="213"/>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Securitization Subsidiary</w:t>
      </w:r>
      <w:r>
        <w:rPr>
          <w:rFonts w:ascii="Times New Roman" w:cs="Times New Roman" w:eastAsia="Times New Roman" w:hAnsi="Times New Roman"/>
          <w:sz w:val="20"/>
          <w:szCs w:val="20"/>
          <w:color w:val="auto"/>
        </w:rPr>
        <w:t>” means any Subsidiary formed for the purpose of, and that solely engages only in, one or more Qualified Securitization Facilities and other activities reasonably related thereto.</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w:t>
      </w:r>
      <w:r>
        <w:rPr>
          <w:rFonts w:ascii="Times New Roman" w:cs="Times New Roman" w:eastAsia="Times New Roman" w:hAnsi="Times New Roman"/>
          <w:sz w:val="20"/>
          <w:szCs w:val="20"/>
          <w:color w:val="auto"/>
        </w:rPr>
        <w:t>” means the amended and restated security and pledge agreement, dated as of the Closing Date and executed by the Company, the Domestic Subsidiaries of the Company (other than any Excluded Subsidiary) and the Administrative Agent, as amended, amended and restated, supplemented or otherwise modified from time to time.</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Security Agreement Supplement</w:t>
      </w:r>
      <w:r>
        <w:rPr>
          <w:rFonts w:ascii="Times New Roman" w:cs="Times New Roman" w:eastAsia="Times New Roman" w:hAnsi="Times New Roman"/>
          <w:sz w:val="20"/>
          <w:szCs w:val="20"/>
          <w:color w:val="auto"/>
        </w:rPr>
        <w:t>” means a Supplement to Security Agreement in the form of Exhibit E to the Security Agreement or such other form acceptable to the Administrative Agent.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Significant Subsidiary</w:t>
      </w:r>
      <w:r>
        <w:rPr>
          <w:rFonts w:ascii="Times New Roman" w:cs="Times New Roman" w:eastAsia="Times New Roman" w:hAnsi="Times New Roman"/>
          <w:sz w:val="20"/>
          <w:szCs w:val="20"/>
          <w:color w:val="auto"/>
        </w:rPr>
        <w:t>” means any Subsidiary that, or any group of Subsidiaries that, taken together, as of the last day of the fiscal quarter of the Company most recently ended for which financial statements are available, had revenues or total assets for such quarter in excess of 10% of the consolidated revenues or total assets, as applicable, of the Company for such quarter.</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SOFR Unavailability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Solvent</w:t>
      </w:r>
      <w:r>
        <w:rPr>
          <w:rFonts w:ascii="Times New Roman" w:cs="Times New Roman" w:eastAsia="Times New Roman" w:hAnsi="Times New Roman"/>
          <w:sz w:val="20"/>
          <w:szCs w:val="20"/>
          <w:color w:val="auto"/>
        </w:rPr>
        <w:t>” means, with respect to any Person, as of any date of determination, that (a) the amount of the “present fair saleable value” of the assets of such Person will, as of such date, exceed the amount of all “liabilities of such Person, contingent or otherwise,” as of such date, as such quoted terms are determined in accordance with applicable federal, state, provincial or foreign laws governing determinations of the insolvency of debtors, (b) the present fair saleable value of the assets of such Person will, as of such date, be greater than the amount that will be required on its debts as such debts become absolute and matured, (c) such Person will not have, as of such date, an unreasonably small amount of capital with which to conduct its business, and (d) such Person will be able to pay its debts as they mature in each case after giving effect to any right of indemnification and contribution of such Person from or to any Affiliate.</w:t>
      </w:r>
    </w:p>
    <w:p>
      <w:pPr>
        <w:spacing w:after="0" w:line="186"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w:t>
      </w:r>
      <w:r>
        <w:rPr>
          <w:rFonts w:ascii="Times New Roman" w:cs="Times New Roman" w:eastAsia="Times New Roman" w:hAnsi="Times New Roman"/>
          <w:sz w:val="20"/>
          <w:szCs w:val="20"/>
          <w:color w:val="auto"/>
        </w:rPr>
        <w:t>”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provided however that if such determination date is not a Business Day, SONIA means such rate that applied on the first Business Day immediately prior thereto.</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SONIA Adjustment</w:t>
      </w:r>
      <w:r>
        <w:rPr>
          <w:rFonts w:ascii="Times New Roman" w:cs="Times New Roman" w:eastAsia="Times New Roman" w:hAnsi="Times New Roman"/>
          <w:sz w:val="20"/>
          <w:szCs w:val="20"/>
          <w:color w:val="auto"/>
        </w:rPr>
        <w:t>” means, with respect to SONIA, 0.0326% per annum.</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Special Notice Currency</w:t>
      </w:r>
      <w:r>
        <w:rPr>
          <w:rFonts w:ascii="Times New Roman" w:cs="Times New Roman" w:eastAsia="Times New Roman" w:hAnsi="Times New Roman"/>
          <w:sz w:val="20"/>
          <w:szCs w:val="20"/>
          <w:color w:val="auto"/>
        </w:rPr>
        <w:t>” means at any time an Alternative Currency, other than the currency of a country that is a member of the Organization for Economic Cooperation and Development at such time located in North America or Europe.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Specified Event of Default</w:t>
      </w:r>
      <w:r>
        <w:rPr>
          <w:rFonts w:ascii="Times New Roman" w:cs="Times New Roman" w:eastAsia="Times New Roman" w:hAnsi="Times New Roman"/>
          <w:sz w:val="20"/>
          <w:szCs w:val="20"/>
          <w:color w:val="auto"/>
        </w:rPr>
        <w:t xml:space="preserve">” means an Event of Default under </w:t>
      </w:r>
      <w:r>
        <w:rPr>
          <w:rFonts w:ascii="Times New Roman" w:cs="Times New Roman" w:eastAsia="Times New Roman" w:hAnsi="Times New Roman"/>
          <w:sz w:val="20"/>
          <w:szCs w:val="20"/>
          <w:u w:val="single" w:color="auto"/>
          <w:color w:val="auto"/>
        </w:rPr>
        <w:t>Sections 8.01(a)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8.01(b)</w:t>
      </w:r>
      <w:r>
        <w:rPr>
          <w:rFonts w:ascii="Times New Roman" w:cs="Times New Roman" w:eastAsia="Times New Roman" w:hAnsi="Times New Roman"/>
          <w:sz w:val="20"/>
          <w:szCs w:val="20"/>
          <w:color w:val="auto"/>
        </w:rPr>
        <w:t xml:space="preserve"> (solely with respect to failure to comply with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Spot Rate</w:t>
      </w:r>
      <w:r>
        <w:rPr>
          <w:rFonts w:ascii="Times New Roman" w:cs="Times New Roman" w:eastAsia="Times New Roman" w:hAnsi="Times New Roman"/>
          <w:sz w:val="20"/>
          <w:szCs w:val="20"/>
          <w:color w:val="auto"/>
        </w:rPr>
        <w:t>” for a currency means the rate determined by the Administrative Agent or the Global Swing Line Lender, as applicable, to be the rate quoted by the Person acting in such capacity as the spot rate for the purchase by such Person of such currency with another currency through its principal foreign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exchange trading office at approximately 11:00 a.m. on the date two Business Days prior to the date as of which the foreign exchange computation is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or the Global Swing Line Lender, as applicable, may obtain such spot rate from another financial institution designated by the Administrative Agent or the Global Swing Line Lender, as applicable, if the Person acting in such capacity does not have as of the date of determination a spot buying rate for any such currency.</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Sterling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u w:val="single" w:color="auto"/>
          <w:color w:val="auto"/>
        </w:rPr>
        <w:t>£</w:t>
      </w:r>
      <w:r>
        <w:rPr>
          <w:rFonts w:ascii="Times New Roman" w:cs="Times New Roman" w:eastAsia="Times New Roman" w:hAnsi="Times New Roman"/>
          <w:sz w:val="20"/>
          <w:szCs w:val="20"/>
          <w:color w:val="auto"/>
        </w:rPr>
        <w:t>” means the lawful currency of the United Kingdom.</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Subordinated Debt Documents</w:t>
      </w:r>
      <w:r>
        <w:rPr>
          <w:rFonts w:ascii="Times New Roman" w:cs="Times New Roman" w:eastAsia="Times New Roman" w:hAnsi="Times New Roman"/>
          <w:sz w:val="20"/>
          <w:szCs w:val="20"/>
          <w:color w:val="FF0000"/>
          <w:strike w:val="1"/>
        </w:rPr>
        <w:t>” means any and all applicable agreements, instruments and other documents pursuant to which any Subordinated Indebtedness has been or will be issued or otherwise setting forth the terms of any such Subordinated Indebtedness.</w:t>
      </w:r>
    </w:p>
    <w:p>
      <w:pPr>
        <w:spacing w:after="0" w:line="15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Subordinated Indebtedness</w:t>
      </w:r>
      <w:r>
        <w:rPr>
          <w:rFonts w:ascii="Times New Roman" w:cs="Times New Roman" w:eastAsia="Times New Roman" w:hAnsi="Times New Roman"/>
          <w:sz w:val="20"/>
          <w:szCs w:val="20"/>
          <w:color w:val="FF0000"/>
          <w:strike w:val="1"/>
        </w:rPr>
        <w:t xml:space="preserve">” any indebtedness for borrowed money (other than Indebtedness among the Company and/or its Subsidiaries) owing by any Loan Party with an individual outstanding principal amount that is expressly subordinated by its terms in right of payment of the Obligations;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with respect to any such Indebtedness that is in excess of the Threshold Amount, (a) in the case of a “high yield” debt offering, the terms of such subordination shall be substantially consistent with market terms at the time of the incurrence of such Indebtedness, and (b) in all other instances, the terms of such subordination shall be reasonably acceptable to the Administrative Agent.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Subordination Provisions</w:t>
      </w:r>
      <w:r>
        <w:rPr>
          <w:rFonts w:ascii="Times New Roman" w:cs="Times New Roman" w:eastAsia="Times New Roman" w:hAnsi="Times New Roman"/>
          <w:sz w:val="20"/>
          <w:szCs w:val="20"/>
          <w:color w:val="008000"/>
          <w:strike w:val="1"/>
        </w:rPr>
        <w:t>” has the meaning specified in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8000"/>
          <w:strike w:val="1"/>
        </w:rPr>
        <w:t>Section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FF0000"/>
          <w:strike w:val="1"/>
        </w:rPr>
        <w:t>8.01(l)</w:t>
      </w:r>
      <w:r>
        <w:rPr>
          <w:rFonts w:ascii="Times New Roman" w:cs="Times New Roman" w:eastAsia="Times New Roman" w:hAnsi="Times New Roman"/>
          <w:sz w:val="20"/>
          <w:szCs w:val="20"/>
          <w:color w:val="FF0000"/>
          <w:strike w:val="1"/>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of a Person means a corporation, partnership, joint venture, limited liability company, unlimited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and in respect of any entity incorporated or established in Jersey, a subsidiary within the meaning of articles 2 and 2A of the Companies (Jersey) Law 1991. Unless otherwise specified, all references herein to a “Subsidiary” or to “Subsidiaries” shall refer to a Subsidiary or Subsidiaries of the Company; provided that notwithstanding the foregoing, in no event will any Securitization Subsidiary be considered a Subsidiary for purposes of Article VIII.</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Guarantors</w:t>
      </w:r>
      <w:r>
        <w:rPr>
          <w:rFonts w:ascii="Times New Roman" w:cs="Times New Roman" w:eastAsia="Times New Roman" w:hAnsi="Times New Roman"/>
          <w:sz w:val="20"/>
          <w:szCs w:val="20"/>
          <w:color w:val="auto"/>
        </w:rPr>
        <w:t xml:space="preserve">” means each Domestic Subsidiary that has executed and delivered to the Administrative Agent the Subsidiary Guaranty, whether on the Closing Date or pursuant to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and including by means of delivery of a supplement to the Subsidiary Guaranty.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 Guaranty</w:t>
      </w:r>
      <w:r>
        <w:rPr>
          <w:rFonts w:ascii="Times New Roman" w:cs="Times New Roman" w:eastAsia="Times New Roman" w:hAnsi="Times New Roman"/>
          <w:sz w:val="20"/>
          <w:szCs w:val="20"/>
          <w:color w:val="auto"/>
        </w:rPr>
        <w:t>” means the Third Amended and Restated Subsidiary Guaranty, dated as of the Closing Date and made by the Subsidiary Guarantors in favor of the Administrative Agent and the Lenders.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3.03(c)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Coordinator</w:t>
      </w:r>
      <w:r>
        <w:rPr>
          <w:rFonts w:ascii="Times New Roman" w:cs="Times New Roman" w:eastAsia="Times New Roman" w:hAnsi="Times New Roman"/>
          <w:sz w:val="20"/>
          <w:szCs w:val="20"/>
          <w:color w:val="auto"/>
        </w:rPr>
        <w:t>” means BofA Securities, Inc., in its capacity as the sustainability coordinator.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Sustainability Linked Loan Principles</w:t>
      </w:r>
      <w:r>
        <w:rPr>
          <w:rFonts w:ascii="Times New Roman" w:cs="Times New Roman" w:eastAsia="Times New Roman" w:hAnsi="Times New Roman"/>
          <w:sz w:val="20"/>
          <w:szCs w:val="20"/>
          <w:color w:val="auto"/>
        </w:rPr>
        <w:t>” means the Sustainability Linked Loan Principles as most recently published by the Loan Market Association and Loan Syndications &amp; Trading Association.</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Contract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5" w:name="page216"/>
    <w:bookmarkEnd w:id="215"/>
    <w:p>
      <w:pPr>
        <w:jc w:val="both"/>
        <w:spacing w:after="0" w:line="243" w:lineRule="auto"/>
        <w:rPr>
          <w:sz w:val="20"/>
          <w:szCs w:val="20"/>
          <w:color w:val="auto"/>
        </w:rPr>
      </w:pPr>
      <w:r>
        <w:rPr>
          <w:rFonts w:ascii="Times New Roman" w:cs="Times New Roman" w:eastAsia="Times New Roman" w:hAnsi="Times New Roman"/>
          <w:sz w:val="20"/>
          <w:szCs w:val="20"/>
          <w:color w:val="auto"/>
        </w:rPr>
        <w:t>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20"/>
          <w:szCs w:val="20"/>
          <w:u w:val="single" w:color="auto"/>
          <w:color w:val="auto"/>
        </w:rPr>
        <w:t>Master Agreement</w:t>
      </w:r>
      <w:r>
        <w:rPr>
          <w:rFonts w:ascii="Times New Roman" w:cs="Times New Roman" w:eastAsia="Times New Roman" w:hAnsi="Times New Roman"/>
          <w:sz w:val="20"/>
          <w:szCs w:val="20"/>
          <w:color w:val="auto"/>
        </w:rPr>
        <w:t>”), including any such obligations or liabilities under any Master Agreement.</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Swap Termination Value</w:t>
      </w:r>
      <w:r>
        <w:rPr>
          <w:rFonts w:ascii="Times New Roman" w:cs="Times New Roman" w:eastAsia="Times New Roman" w:hAnsi="Times New Roman"/>
          <w:sz w:val="20"/>
          <w:szCs w:val="20"/>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Borrowing</w:t>
      </w:r>
      <w:r>
        <w:rPr>
          <w:rFonts w:ascii="Times New Roman" w:cs="Times New Roman" w:eastAsia="Times New Roman" w:hAnsi="Times New Roman"/>
          <w:sz w:val="20"/>
          <w:szCs w:val="20"/>
          <w:color w:val="auto"/>
        </w:rPr>
        <w:t xml:space="preserve">” means a borrowing of a Swing Line Loan pursuant to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Lender</w:t>
      </w:r>
      <w:r>
        <w:rPr>
          <w:rFonts w:ascii="Times New Roman" w:cs="Times New Roman" w:eastAsia="Times New Roman" w:hAnsi="Times New Roman"/>
          <w:sz w:val="20"/>
          <w:szCs w:val="20"/>
          <w:color w:val="auto"/>
        </w:rPr>
        <w:t>” means the U.S. Swing Line Lender and/or the Global Swing Line Lender, as the context may require.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w:t>
      </w:r>
      <w:r>
        <w:rPr>
          <w:rFonts w:ascii="Times New Roman" w:cs="Times New Roman" w:eastAsia="Times New Roman" w:hAnsi="Times New Roman"/>
          <w:sz w:val="20"/>
          <w:szCs w:val="20"/>
          <w:color w:val="auto"/>
        </w:rPr>
        <w:t>” means a U.S. Swing Line Loan and/or a Global Swing Line Loan, as the context may require.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Swing Line Loan Notice</w:t>
      </w:r>
      <w:r>
        <w:rPr>
          <w:rFonts w:ascii="Times New Roman" w:cs="Times New Roman" w:eastAsia="Times New Roman" w:hAnsi="Times New Roman"/>
          <w:sz w:val="20"/>
          <w:szCs w:val="20"/>
          <w:color w:val="auto"/>
        </w:rPr>
        <w:t xml:space="preserve">” means a notice of a Swing Line Borrowing pursuant to </w:t>
      </w:r>
      <w:r>
        <w:rPr>
          <w:rFonts w:ascii="Times New Roman" w:cs="Times New Roman" w:eastAsia="Times New Roman" w:hAnsi="Times New Roman"/>
          <w:sz w:val="20"/>
          <w:szCs w:val="20"/>
          <w:u w:val="single" w:color="auto"/>
          <w:color w:val="auto"/>
        </w:rPr>
        <w:t>Section 2.04(b)</w:t>
      </w:r>
      <w:r>
        <w:rPr>
          <w:rFonts w:ascii="Times New Roman" w:cs="Times New Roman" w:eastAsia="Times New Roman" w:hAnsi="Times New Roman"/>
          <w:sz w:val="20"/>
          <w:szCs w:val="20"/>
          <w:color w:val="auto"/>
        </w:rPr>
        <w:t xml:space="preserve">, which shall be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or delivered, as applicable) by a Responsible Officer of the Company.</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TARGET Day</w:t>
      </w:r>
      <w:r>
        <w:rPr>
          <w:rFonts w:ascii="Times New Roman" w:cs="Times New Roman" w:eastAsia="Times New Roman" w:hAnsi="Times New Roman"/>
          <w:sz w:val="20"/>
          <w:szCs w:val="20"/>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74" w:lineRule="exact"/>
        <w:rPr>
          <w:sz w:val="20"/>
          <w:szCs w:val="20"/>
          <w:color w:val="auto"/>
        </w:rPr>
      </w:pPr>
    </w:p>
    <w:p>
      <w:pPr>
        <w:jc w:val="both"/>
        <w:ind w:firstLine="83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Borrowing</w:t>
      </w:r>
      <w:r>
        <w:rPr>
          <w:rFonts w:ascii="Times New Roman" w:cs="Times New Roman" w:eastAsia="Times New Roman" w:hAnsi="Times New Roman"/>
          <w:sz w:val="20"/>
          <w:szCs w:val="20"/>
          <w:color w:val="auto"/>
        </w:rPr>
        <w:t xml:space="preserve">” means a borrowing consisting of simultaneous Term Loans of the same Type and, in the case of Term SOFR Loans or Alternative Currency Term Rate Loans, having the same Interest Period made by each of the Term Lenders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xml:space="preserve">” means, as to each Term Lender, its obligation to make Term Loans to the Company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2.01(a)</w:t>
      </w:r>
      <w:r>
        <w:rPr>
          <w:rFonts w:ascii="Times New Roman" w:cs="Times New Roman" w:eastAsia="Times New Roman" w:hAnsi="Times New Roman"/>
          <w:sz w:val="20"/>
          <w:szCs w:val="20"/>
          <w:color w:val="auto"/>
        </w:rPr>
        <w:t xml:space="preserve"> in an aggregate principal amount at any one time outstanding not to exceed the amount set forth opposite such Term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“Term Commitment” or opposite such caption in the Assignment and Assumption pursuant to which such Term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6" w:name="page217"/>
    <w:bookmarkEnd w:id="216"/>
    <w:p>
      <w:pPr>
        <w:ind w:right="20"/>
        <w:spacing w:after="0" w:line="269" w:lineRule="auto"/>
        <w:rPr>
          <w:sz w:val="20"/>
          <w:szCs w:val="20"/>
          <w:color w:val="auto"/>
        </w:rPr>
      </w:pPr>
      <w:r>
        <w:rPr>
          <w:rFonts w:ascii="Times New Roman" w:cs="Times New Roman" w:eastAsia="Times New Roman" w:hAnsi="Times New Roman"/>
          <w:sz w:val="20"/>
          <w:szCs w:val="20"/>
          <w:color w:val="auto"/>
        </w:rPr>
        <w:t>Lender becomes a party hereto, as applicable, as such amount may be adjusted from time to time in accordance with this Agreement. The Term Commitment of all of the Term Lenders on the Closing Date shall be $300,000,000.</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Facility</w:t>
      </w:r>
      <w:r>
        <w:rPr>
          <w:rFonts w:ascii="Times New Roman" w:cs="Times New Roman" w:eastAsia="Times New Roman" w:hAnsi="Times New Roman"/>
          <w:sz w:val="20"/>
          <w:szCs w:val="20"/>
          <w:color w:val="auto"/>
        </w:rPr>
        <w:t>” means, at any time, (a) on or prior to the Closing Date, the aggregate amount of the Term Commitments at such time and (b) thereafter, the aggregate principal amount of the Term Loans of all Term Lenders outstanding at such time.</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Lender</w:t>
      </w:r>
      <w:r>
        <w:rPr>
          <w:rFonts w:ascii="Times New Roman" w:cs="Times New Roman" w:eastAsia="Times New Roman" w:hAnsi="Times New Roman"/>
          <w:sz w:val="20"/>
          <w:szCs w:val="20"/>
          <w:color w:val="auto"/>
        </w:rPr>
        <w:t>” means (a) at any time on or prior to the Closing Date, any Lender that has a Term Commitment at such time and (b)at any time after the Closing Date, any Lender that holds Term Loans at such time.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Loan</w:t>
      </w:r>
      <w:r>
        <w:rPr>
          <w:rFonts w:ascii="Times New Roman" w:cs="Times New Roman" w:eastAsia="Times New Roman" w:hAnsi="Times New Roman"/>
          <w:sz w:val="20"/>
          <w:szCs w:val="20"/>
          <w:color w:val="auto"/>
        </w:rPr>
        <w:t>” means an advance made by any Term Lender under the Term Facility.</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Note</w:t>
      </w:r>
      <w:r>
        <w:rPr>
          <w:rFonts w:ascii="Times New Roman" w:cs="Times New Roman" w:eastAsia="Times New Roman" w:hAnsi="Times New Roman"/>
          <w:sz w:val="20"/>
          <w:szCs w:val="20"/>
          <w:color w:val="auto"/>
        </w:rPr>
        <w:t xml:space="preserve">” means a promissory note made by the Company in favor of a Term Lender evidencing Term Loans made by such Term Lender,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w:t>
      </w:r>
      <w:r>
        <w:rPr>
          <w:rFonts w:ascii="Times New Roman" w:cs="Times New Roman" w:eastAsia="Times New Roman" w:hAnsi="Times New Roman"/>
          <w:sz w:val="20"/>
          <w:szCs w:val="20"/>
          <w:color w:val="auto"/>
        </w:rPr>
        <w:t>” means:</w:t>
      </w:r>
    </w:p>
    <w:p>
      <w:pPr>
        <w:spacing w:after="0" w:line="216" w:lineRule="exact"/>
        <w:rPr>
          <w:sz w:val="20"/>
          <w:szCs w:val="20"/>
          <w:color w:val="auto"/>
        </w:rPr>
      </w:pPr>
    </w:p>
    <w:p>
      <w:pPr>
        <w:jc w:val="both"/>
        <w:ind w:firstLine="757"/>
        <w:spacing w:after="0" w:line="246"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rate is not published prior to 11:00 a.m. on such determination date then Term SOFR means the Term SOFR Screen Rate on the first U.S. Government Securities Business Day immediately prior thereto, in each case,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SOFR Adjustment for such Interest Period; and</w:t>
      </w:r>
    </w:p>
    <w:p>
      <w:pPr>
        <w:spacing w:after="0" w:line="184" w:lineRule="exact"/>
        <w:rPr>
          <w:rFonts w:ascii="Times New Roman" w:cs="Times New Roman" w:eastAsia="Times New Roman" w:hAnsi="Times New Roman"/>
          <w:sz w:val="20"/>
          <w:szCs w:val="20"/>
          <w:color w:val="auto"/>
        </w:rPr>
      </w:pPr>
    </w:p>
    <w:p>
      <w:pPr>
        <w:ind w:right="20" w:firstLine="757"/>
        <w:spacing w:after="0" w:line="269" w:lineRule="auto"/>
        <w:tabs>
          <w:tab w:leader="none" w:pos="1145"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interest calculation with respect to a Base Rate Loan on any date, the rate per annum equal to the Term SOFR Screen Rate with a term of one month commencing that day;</w:t>
      </w:r>
    </w:p>
    <w:p>
      <w:pPr>
        <w:spacing w:after="0" w:line="15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Term SOFR determined in accordance with either of the foregoing clauses (a) or (b) of this definition would otherwise be less than zero, the Term SOFR shall be deemed zero for purposes of this Agreement.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Loan</w:t>
      </w:r>
      <w:r>
        <w:rPr>
          <w:rFonts w:ascii="Times New Roman" w:cs="Times New Roman" w:eastAsia="Times New Roman" w:hAnsi="Times New Roman"/>
          <w:sz w:val="20"/>
          <w:szCs w:val="20"/>
          <w:color w:val="auto"/>
        </w:rPr>
        <w:t>” means a Loan that bears interest at a rate based on clause (a) of the definition of Term SOFR.</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SOFR Screen Rate</w:t>
      </w:r>
      <w:r>
        <w:rPr>
          <w:rFonts w:ascii="Times New Roman" w:cs="Times New Roman" w:eastAsia="Times New Roman" w:hAnsi="Times New Roman"/>
          <w:sz w:val="20"/>
          <w:szCs w:val="20"/>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Amendment Effective Date</w:t>
      </w:r>
      <w:r>
        <w:rPr>
          <w:rFonts w:ascii="Times New Roman" w:cs="Times New Roman" w:eastAsia="Times New Roman" w:hAnsi="Times New Roman"/>
          <w:sz w:val="20"/>
          <w:szCs w:val="20"/>
          <w:color w:val="auto"/>
        </w:rPr>
        <w:t>” means May 5, 2025.</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Threshold Amount</w:t>
      </w:r>
      <w:r>
        <w:rPr>
          <w:rFonts w:ascii="Times New Roman" w:cs="Times New Roman" w:eastAsia="Times New Roman" w:hAnsi="Times New Roman"/>
          <w:sz w:val="20"/>
          <w:szCs w:val="20"/>
          <w:color w:val="auto"/>
        </w:rPr>
        <w:t>” means the greater of (a) $40,000,000 and (b) 3.00% of the Company’s Consolidated Net Worth.</w:t>
      </w:r>
    </w:p>
    <w:p>
      <w:pPr>
        <w:spacing w:after="0" w:line="216" w:lineRule="exact"/>
        <w:rPr>
          <w:sz w:val="20"/>
          <w:szCs w:val="20"/>
          <w:color w:val="auto"/>
        </w:rPr>
      </w:pPr>
    </w:p>
    <w:p>
      <w:pPr>
        <w:jc w:val="both"/>
        <w:ind w:firstLine="83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Amount of all Term Loans of such Lender at such time.</w:t>
      </w:r>
    </w:p>
    <w:p>
      <w:pPr>
        <w:spacing w:after="0" w:line="159"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Global Revolving Credit Outstandings</w:t>
      </w:r>
      <w:r>
        <w:rPr>
          <w:rFonts w:ascii="Times New Roman" w:cs="Times New Roman" w:eastAsia="Times New Roman" w:hAnsi="Times New Roman"/>
          <w:sz w:val="20"/>
          <w:szCs w:val="20"/>
          <w:color w:val="auto"/>
        </w:rPr>
        <w:t>” means the aggregate Outstanding Amount of all Global Revolving Credit Loans and all Global Swing Line Loans.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7" w:name="page218"/>
    <w:bookmarkEnd w:id="21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Total Revolving Outstandings</w:t>
      </w:r>
      <w:r>
        <w:rPr>
          <w:rFonts w:ascii="Times New Roman" w:cs="Times New Roman" w:eastAsia="Times New Roman" w:hAnsi="Times New Roman"/>
          <w:sz w:val="20"/>
          <w:szCs w:val="20"/>
          <w:color w:val="auto"/>
        </w:rPr>
        <w:t>” means the aggregate Outstanding Amount of all Revolving Loans and all L/C Obligations.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Total U.S. Revolving Credit Outstandings</w:t>
      </w:r>
      <w:r>
        <w:rPr>
          <w:rFonts w:ascii="Times New Roman" w:cs="Times New Roman" w:eastAsia="Times New Roman" w:hAnsi="Times New Roman"/>
          <w:sz w:val="19"/>
          <w:szCs w:val="19"/>
          <w:color w:val="auto"/>
        </w:rPr>
        <w:t>” means the aggregate Outstanding Amount of all U.S. Revolving Credit Loans, all U.S.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 Line Loans and all L/C Obligations.</w:t>
      </w:r>
    </w:p>
    <w:p>
      <w:pPr>
        <w:spacing w:after="0" w:line="19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Transition Period</w:t>
      </w:r>
      <w:r>
        <w:rPr>
          <w:rFonts w:ascii="Times New Roman" w:cs="Times New Roman" w:eastAsia="Times New Roman" w:hAnsi="Times New Roman"/>
          <w:sz w:val="20"/>
          <w:szCs w:val="20"/>
          <w:color w:val="auto"/>
        </w:rPr>
        <w:t>” means the period commencing on the date the Company or any Subsidiary consummates an Acceptable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such time and after giving effect to such Acceptable Acquisition), the Company and its Subsidiaries are in compliance with </w:t>
      </w:r>
      <w:r>
        <w:rPr>
          <w:rFonts w:ascii="Times New Roman" w:cs="Times New Roman" w:eastAsia="Times New Roman" w:hAnsi="Times New Roman"/>
          <w:sz w:val="20"/>
          <w:szCs w:val="20"/>
          <w:u w:val="single" w:color="auto"/>
          <w:color w:val="auto"/>
        </w:rPr>
        <w:t>Section 7.07</w:t>
      </w:r>
      <w:r>
        <w:rPr>
          <w:rFonts w:ascii="Times New Roman" w:cs="Times New Roman" w:eastAsia="Times New Roman" w:hAnsi="Times New Roman"/>
          <w:sz w:val="20"/>
          <w:szCs w:val="20"/>
          <w:color w:val="auto"/>
        </w:rPr>
        <w:t xml:space="preserve"> and ending on the last day of the fourth full fiscal quarter following the date of the consummation of such Acceptable Acquisition.</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Type</w:t>
      </w:r>
      <w:r>
        <w:rPr>
          <w:rFonts w:ascii="Times New Roman" w:cs="Times New Roman" w:eastAsia="Times New Roman" w:hAnsi="Times New Roman"/>
          <w:sz w:val="20"/>
          <w:szCs w:val="20"/>
          <w:color w:val="auto"/>
        </w:rPr>
        <w:t>” means, with respect to a Committed Loan, its character as a Base Rate Loan, a Term SOFR Loan or an Alternative Currency Daily Rate Loan, an Alternative Currency Term Rate Loan or a Global Swing Line Loan.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Borrower</w:t>
      </w:r>
      <w:r>
        <w:rPr>
          <w:rFonts w:ascii="Times New Roman" w:cs="Times New Roman" w:eastAsia="Times New Roman" w:hAnsi="Times New Roman"/>
          <w:sz w:val="20"/>
          <w:szCs w:val="20"/>
          <w:color w:val="auto"/>
        </w:rPr>
        <w:t xml:space="preserve">” means any </w:t>
      </w:r>
      <w:r>
        <w:rPr>
          <w:rFonts w:ascii="Times New Roman" w:cs="Times New Roman" w:eastAsia="Times New Roman" w:hAnsi="Times New Roman"/>
          <w:sz w:val="20"/>
          <w:szCs w:val="20"/>
          <w:i w:val="1"/>
          <w:iCs w:val="1"/>
          <w:color w:val="auto"/>
        </w:rPr>
        <w:t>Designated Foreign Borrower</w:t>
      </w:r>
      <w:r>
        <w:rPr>
          <w:rFonts w:ascii="Times New Roman" w:cs="Times New Roman" w:eastAsia="Times New Roman" w:hAnsi="Times New Roman"/>
          <w:sz w:val="20"/>
          <w:szCs w:val="20"/>
          <w:color w:val="auto"/>
        </w:rPr>
        <w:t xml:space="preserve"> incorporated in England and Wales.</w:t>
      </w:r>
    </w:p>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Kingdom</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UK</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U.K.</w:t>
      </w:r>
      <w:r>
        <w:rPr>
          <w:rFonts w:ascii="Times New Roman" w:cs="Times New Roman" w:eastAsia="Times New Roman" w:hAnsi="Times New Roman"/>
          <w:sz w:val="20"/>
          <w:szCs w:val="20"/>
          <w:color w:val="auto"/>
        </w:rPr>
        <w:t>” mean the United Kingdom of Great Britain and Northern Ireland.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U.S.</w:t>
      </w:r>
      <w:r>
        <w:rPr>
          <w:rFonts w:ascii="Times New Roman" w:cs="Times New Roman" w:eastAsia="Times New Roman" w:hAnsi="Times New Roman"/>
          <w:sz w:val="20"/>
          <w:szCs w:val="20"/>
          <w:color w:val="auto"/>
        </w:rPr>
        <w:t>” mean the United States of America.</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Unrestricted Cash</w:t>
      </w:r>
      <w:r>
        <w:rPr>
          <w:rFonts w:ascii="Times New Roman" w:cs="Times New Roman" w:eastAsia="Times New Roman" w:hAnsi="Times New Roman"/>
          <w:sz w:val="20"/>
          <w:szCs w:val="20"/>
          <w:color w:val="auto"/>
        </w:rPr>
        <w:t>” means, as of any date of determination, cash and Cash Equivalents of the Company that do not appear (and are not required to appear) as “restricted” on the consolidated balance sheet of the Company and its Subsidiaries (unless such appearance is related to the Liens granted to the Administrative Agent to secure the Obligations).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Government Securities Business Day</w:t>
      </w:r>
      <w:r>
        <w:rPr>
          <w:rFonts w:ascii="Times New Roman" w:cs="Times New Roman" w:eastAsia="Times New Roman" w:hAnsi="Times New Roman"/>
          <w:sz w:val="20"/>
          <w:szCs w:val="20"/>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Borrowing</w:t>
      </w:r>
      <w:r>
        <w:rPr>
          <w:rFonts w:ascii="Times New Roman" w:cs="Times New Roman" w:eastAsia="Times New Roman" w:hAnsi="Times New Roman"/>
          <w:sz w:val="20"/>
          <w:szCs w:val="20"/>
          <w:color w:val="auto"/>
        </w:rPr>
        <w:t xml:space="preserve">” means a borrowing consisting of simultaneous U.S. Revolving Credit Loans of the same Type and, in the case of Term SOFR Loans, having the same Interest Period made by each of the U.S. Revolving Credit Lenders pursuant to </w:t>
      </w:r>
      <w:r>
        <w:rPr>
          <w:rFonts w:ascii="Times New Roman" w:cs="Times New Roman" w:eastAsia="Times New Roman" w:hAnsi="Times New Roman"/>
          <w:sz w:val="20"/>
          <w:szCs w:val="20"/>
          <w:u w:val="single" w:color="auto"/>
          <w:color w:val="auto"/>
        </w:rPr>
        <w:t>Section 2.01(b)(i)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8" w:name="page219"/>
    <w:bookmarkEnd w:id="218"/>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Commitment</w:t>
      </w:r>
      <w:r>
        <w:rPr>
          <w:rFonts w:ascii="Times New Roman" w:cs="Times New Roman" w:eastAsia="Times New Roman" w:hAnsi="Times New Roman"/>
          <w:sz w:val="20"/>
          <w:szCs w:val="20"/>
          <w:color w:val="auto"/>
        </w:rPr>
        <w:t xml:space="preserve">” means, as to each Lender, its obligation to (a) make U.S. Revolving Credit Loans to the Company and each Domestic Subsidiary of the Company from time to time party hereto as a Designated Borrower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2.01(b)(i)</w:t>
      </w:r>
      <w:r>
        <w:rPr>
          <w:rFonts w:ascii="Times New Roman" w:cs="Times New Roman" w:eastAsia="Times New Roman" w:hAnsi="Times New Roman"/>
          <w:sz w:val="20"/>
          <w:szCs w:val="20"/>
          <w:color w:val="auto"/>
        </w:rPr>
        <w:t xml:space="preserve">, (b) purchase participations in L/C Obligations, and (c) purchase participations in U.S. Swing Line Loans, in an aggregate principal amount at any one time outstanding not to exceed the amount set forth opposite such Lender’s name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under the caption “U.S. Revolving Credit Commitment” or opposite such caption in the Assignment and Assumption pursuant to which such Lender becomes a party hereto, as applicable, as such amount may be adjusted from time to time in accordance with this Agreement.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Facility</w:t>
      </w:r>
      <w:r>
        <w:rPr>
          <w:rFonts w:ascii="Times New Roman" w:cs="Times New Roman" w:eastAsia="Times New Roman" w:hAnsi="Times New Roman"/>
          <w:sz w:val="20"/>
          <w:szCs w:val="20"/>
          <w:color w:val="auto"/>
        </w:rPr>
        <w:t>” means, at any time, the aggregate amount of the U.S. Revolving Credit Lenders’ U.S. Revolving Credit Commitments at such time. As of the Closing Date, the U.S. Revolving Credit Facility is $440,000,000; from and after the Third Amendment Effective Date, the U.S. Revolving Credit Facility is $385,000,000</w:t>
      </w:r>
      <w:r>
        <w:rPr>
          <w:rFonts w:ascii="Times New Roman" w:cs="Times New Roman" w:eastAsia="Times New Roman" w:hAnsi="Times New Roman"/>
          <w:sz w:val="20"/>
          <w:szCs w:val="20"/>
          <w:u w:val="single" w:color="auto"/>
          <w:color w:val="0000FF"/>
        </w:rPr>
        <w:t>, and from and after the Fourth Amendment Effective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the U.S. Revolving Credit Facility is $330,000,000</w:t>
      </w:r>
      <w:r>
        <w:rPr>
          <w:rFonts w:ascii="Times New Roman" w:cs="Times New Roman" w:eastAsia="Times New Roman" w:hAnsi="Times New Roman"/>
          <w:sz w:val="20"/>
          <w:szCs w:val="20"/>
          <w:color w:val="000000"/>
        </w:rPr>
        <w: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Lender</w:t>
      </w:r>
      <w:r>
        <w:rPr>
          <w:rFonts w:ascii="Times New Roman" w:cs="Times New Roman" w:eastAsia="Times New Roman" w:hAnsi="Times New Roman"/>
          <w:sz w:val="20"/>
          <w:szCs w:val="20"/>
          <w:color w:val="auto"/>
        </w:rPr>
        <w:t>” means, at any time, any Lender that has a U.S. Revolving Credit Commitment at such time.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Revolving Credit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2.01(b)(i)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 Line Lender</w:t>
      </w:r>
      <w:r>
        <w:rPr>
          <w:rFonts w:ascii="Times New Roman" w:cs="Times New Roman" w:eastAsia="Times New Roman" w:hAnsi="Times New Roman"/>
          <w:sz w:val="20"/>
          <w:szCs w:val="20"/>
          <w:color w:val="auto"/>
        </w:rPr>
        <w:t>” means Bank of America, in its capacity as provider of U.S. Swing Line Loans, or any successor swing line lender of such swing line loans hereunder.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 Line Loan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2.04(a)(i)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Swing Line Sublimit</w:t>
      </w:r>
      <w:r>
        <w:rPr>
          <w:rFonts w:ascii="Times New Roman" w:cs="Times New Roman" w:eastAsia="Times New Roman" w:hAnsi="Times New Roman"/>
          <w:sz w:val="20"/>
          <w:szCs w:val="20"/>
          <w:color w:val="auto"/>
        </w:rPr>
        <w:t>” means an amount equal to the lesser of (a) $10,000,000 and (b) the U.S. Revolving Credit Facility.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U.S. Swing Line Sublimit is part of, and not in addition to, the U.S. Revolving Credit Facility.</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3.01(e)(ii)(B)(III)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Wholly-Owned Subsidiary</w:t>
      </w:r>
      <w:r>
        <w:rPr>
          <w:rFonts w:ascii="Times New Roman" w:cs="Times New Roman" w:eastAsia="Times New Roman" w:hAnsi="Times New Roman"/>
          <w:sz w:val="20"/>
          <w:szCs w:val="20"/>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Law to be owned by a Person other than the Company and/or one or more of its Wholly-Owned Subsidiaries).</w:t>
      </w:r>
    </w:p>
    <w:p>
      <w:pPr>
        <w:spacing w:after="0" w:line="18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Write-Down and Conversion Powers</w:t>
      </w:r>
      <w:r>
        <w:rPr>
          <w:rFonts w:ascii="Times New Roman" w:cs="Times New Roman" w:eastAsia="Times New Roman" w:hAnsi="Times New Roman"/>
          <w:sz w:val="20"/>
          <w:szCs w:val="20"/>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1.02 Other Interpretive Provisions</w:t>
      </w:r>
      <w:r>
        <w:rPr>
          <w:rFonts w:ascii="Times New Roman" w:cs="Times New Roman" w:eastAsia="Times New Roman" w:hAnsi="Times New Roman"/>
          <w:sz w:val="20"/>
          <w:szCs w:val="20"/>
          <w:color w:val="auto"/>
        </w:rPr>
        <w:t>. With reference to this Agreement and each other Loan Document, unless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specified herein or in such other Loan Document: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9" w:name="page220"/>
    <w:bookmarkEnd w:id="219"/>
    <w:p>
      <w:pPr>
        <w:jc w:val="both"/>
        <w:ind w:firstLine="757"/>
        <w:spacing w:after="0" w:line="253" w:lineRule="auto"/>
        <w:tabs>
          <w:tab w:leader="none" w:pos="1018"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 w:cs="Times New Roman" w:eastAsia="Times New Roman" w:hAnsi="Times New Roman"/>
          <w:sz w:val="19"/>
          <w:szCs w:val="19"/>
          <w:u w:val="single" w:color="auto"/>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including</w:t>
      </w:r>
      <w:r>
        <w:rPr>
          <w:rFonts w:ascii="Times New Roman" w:cs="Times New Roman" w:eastAsia="Times New Roman" w:hAnsi="Times New Roman"/>
          <w:sz w:val="19"/>
          <w:szCs w:val="19"/>
          <w:color w:val="auto"/>
        </w:rPr>
        <w:t>” shall be deemed to be followed by the phrase “without limitation.” The word “</w:t>
      </w:r>
      <w:r>
        <w:rPr>
          <w:rFonts w:ascii="Times New Roman" w:cs="Times New Roman" w:eastAsia="Times New Roman" w:hAnsi="Times New Roman"/>
          <w:sz w:val="19"/>
          <w:szCs w:val="19"/>
          <w:u w:val="single" w:color="auto"/>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u w:val="single" w:color="auto"/>
          <w:color w:val="auto"/>
        </w:rPr>
        <w:t>shall</w:t>
      </w:r>
      <w:r>
        <w:rPr>
          <w:rFonts w:ascii="Times New Roman" w:cs="Times New Roman" w:eastAsia="Times New Roman" w:hAnsi="Times New Roman"/>
          <w:sz w:val="19"/>
          <w:szCs w:val="19"/>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Times New Roman" w:cs="Times New Roman" w:eastAsia="Times New Roman" w:hAnsi="Times New Roman"/>
          <w:sz w:val="19"/>
          <w:szCs w:val="19"/>
          <w:u w:val="single" w:color="auto"/>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u w:val="single" w:color="auto"/>
          <w:color w:val="auto"/>
        </w:rPr>
        <w:t>hereto</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u w:val="single" w:color="auto"/>
          <w:color w:val="auto"/>
        </w:rPr>
        <w:t>hereunder</w:t>
      </w:r>
      <w:r>
        <w:rPr>
          <w:rFonts w:ascii="Times New Roman" w:cs="Times New Roman" w:eastAsia="Times New Roman" w:hAnsi="Times New Roman"/>
          <w:sz w:val="19"/>
          <w:szCs w:val="19"/>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preliminary statements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w:t>
      </w:r>
    </w:p>
    <w:p>
      <w:pPr>
        <w:spacing w:after="0" w:line="11" w:lineRule="exact"/>
        <w:rPr>
          <w:rFonts w:ascii="Times New Roman" w:cs="Times New Roman" w:eastAsia="Times New Roman" w:hAnsi="Times New Roman"/>
          <w:sz w:val="19"/>
          <w:szCs w:val="19"/>
          <w:color w:val="auto"/>
        </w:rPr>
      </w:pPr>
    </w:p>
    <w:p>
      <w:pPr>
        <w:ind w:firstLine="8"/>
        <w:spacing w:after="0" w:line="246" w:lineRule="auto"/>
        <w:tabs>
          <w:tab w:leader="none" w:pos="36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u w:val="single" w:color="auto"/>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w:t>
      </w:r>
    </w:p>
    <w:p>
      <w:pPr>
        <w:spacing w:after="0" w:line="181"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computation of periods of time from a specified date to a later specified date, the word “</w:t>
      </w:r>
      <w:r>
        <w:rPr>
          <w:rFonts w:ascii="Times New Roman" w:cs="Times New Roman" w:eastAsia="Times New Roman" w:hAnsi="Times New Roman"/>
          <w:sz w:val="20"/>
          <w:szCs w:val="20"/>
          <w:u w:val="single" w:color="auto"/>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from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including</w:t>
      </w:r>
      <w:r>
        <w:rPr>
          <w:rFonts w:ascii="Times New Roman" w:cs="Times New Roman" w:eastAsia="Times New Roman" w:hAnsi="Times New Roman"/>
          <w:sz w:val="20"/>
          <w:szCs w:val="20"/>
          <w:color w:val="auto"/>
        </w:rPr>
        <w:t>;” the words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until</w:t>
      </w:r>
      <w:r>
        <w:rPr>
          <w:rFonts w:ascii="Times New Roman" w:cs="Times New Roman" w:eastAsia="Times New Roman" w:hAnsi="Times New Roman"/>
          <w:sz w:val="20"/>
          <w:szCs w:val="20"/>
          <w:color w:val="auto"/>
        </w:rPr>
        <w:t>” each mean “</w:t>
      </w:r>
      <w:r>
        <w:rPr>
          <w:rFonts w:ascii="Times New Roman" w:cs="Times New Roman" w:eastAsia="Times New Roman" w:hAnsi="Times New Roman"/>
          <w:sz w:val="20"/>
          <w:szCs w:val="20"/>
          <w:u w:val="single" w:color="auto"/>
          <w:color w:val="auto"/>
        </w:rPr>
        <w:t>to but excluding</w:t>
      </w:r>
      <w:r>
        <w:rPr>
          <w:rFonts w:ascii="Times New Roman" w:cs="Times New Roman" w:eastAsia="Times New Roman" w:hAnsi="Times New Roman"/>
          <w:sz w:val="20"/>
          <w:szCs w:val="20"/>
          <w:color w:val="auto"/>
        </w:rPr>
        <w:t>;” and the word “</w:t>
      </w:r>
      <w:r>
        <w:rPr>
          <w:rFonts w:ascii="Times New Roman" w:cs="Times New Roman" w:eastAsia="Times New Roman" w:hAnsi="Times New Roman"/>
          <w:sz w:val="20"/>
          <w:szCs w:val="20"/>
          <w:u w:val="single" w:color="auto"/>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u w:val="single" w:color="auto"/>
          <w:color w:val="auto"/>
        </w:rPr>
        <w:t>to and including</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1.03 Accounting Terms.</w:t>
      </w:r>
    </w:p>
    <w:p>
      <w:pPr>
        <w:spacing w:after="0" w:line="220" w:lineRule="exact"/>
        <w:rPr>
          <w:sz w:val="20"/>
          <w:szCs w:val="20"/>
          <w:color w:val="auto"/>
        </w:rPr>
      </w:pPr>
    </w:p>
    <w:p>
      <w:pPr>
        <w:jc w:val="both"/>
        <w:ind w:firstLine="757"/>
        <w:spacing w:after="0" w:line="245"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Notwithstanding the foregoing, for purposes of determining compliance with any covenant (including the computation of any financial covenant) contained herein, Indebtedness of the Company and its Subsidiaries shall be deemed to be carried at 100% of the outstanding principal amount thereof, and the effects of FASB ASC 825 and FASB ASC 470-20 on financial liabilities shall be disregarded.</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Changes in GAAP</w:t>
      </w:r>
      <w:r>
        <w:rPr>
          <w:rFonts w:ascii="Times New Roman" w:cs="Times New Roman" w:eastAsia="Times New Roman" w:hAnsi="Times New Roman"/>
          <w:sz w:val="20"/>
          <w:szCs w:val="20"/>
          <w:color w:val="auto"/>
        </w:rPr>
        <w:t>. If at any time any change in GAAP would affect the computation of any financial ratio or requirement set forth in any Loan Document, and either the Company or the Required Lenders shall so request, the Administrative Agent, the Lenders and the Company shall negotiate in good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0" w:name="page221"/>
    <w:bookmarkEnd w:id="22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faith to amend such ratio or requirement to preserve the original intent thereof in light of such change in GAAP (subject to the approval of the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so amended, (i) such ratio or requirement shall continue to be computed in accordance with GAAP prior to such change therein and (ii) the Company shall provide to the Administrative Agent and the Lenders such financial statements and other documents as are required under this Agreement or as otherwise reasonably requested hereunder setting forth a reconciliation between calculations of such ratio or requirement made before and after giving effect to such change in GAAP. Without limiting the foregoing, all obligations of any Person that are or would have been treated as operating leases for purposes of GAAP prior to the effectiveness of FASB ASC 842 shall continue to be accounted for as operating leases for purposes of all financial definitions and calculations for purpose of this Agreement (whether or not such operating lease obligations were in effect on such date) notwithstanding the fact that such obligations are required in accordance with FASB ASC 842 (on a prospective or retroactive basis or otherwise) to be treated as Capital Leases in the financial statements.</w:t>
      </w:r>
    </w:p>
    <w:p>
      <w:pPr>
        <w:spacing w:after="0" w:line="192" w:lineRule="exact"/>
        <w:rPr>
          <w:sz w:val="20"/>
          <w:szCs w:val="20"/>
          <w:color w:val="auto"/>
        </w:rPr>
      </w:pPr>
    </w:p>
    <w:p>
      <w:pPr>
        <w:jc w:val="both"/>
        <w:ind w:firstLine="757"/>
        <w:spacing w:after="0" w:line="249" w:lineRule="auto"/>
        <w:tabs>
          <w:tab w:leader="none" w:pos="114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Consolidation of Variable Interest Entities</w:t>
      </w:r>
      <w:r>
        <w:rPr>
          <w:rFonts w:ascii="Times New Roman" w:cs="Times New Roman" w:eastAsia="Times New Roman" w:hAnsi="Times New Roman"/>
          <w:sz w:val="20"/>
          <w:szCs w:val="20"/>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145"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determining the permissibility of any action, change, transaction, or other event (each of the foregoing, a “</w:t>
      </w:r>
      <w:r>
        <w:rPr>
          <w:rFonts w:ascii="Times New Roman" w:cs="Times New Roman" w:eastAsia="Times New Roman" w:hAnsi="Times New Roman"/>
          <w:sz w:val="20"/>
          <w:szCs w:val="20"/>
          <w:u w:val="single" w:color="auto"/>
          <w:color w:val="auto"/>
        </w:rPr>
        <w:t>Proposed Event</w:t>
      </w:r>
      <w:r>
        <w:rPr>
          <w:rFonts w:ascii="Times New Roman" w:cs="Times New Roman" w:eastAsia="Times New Roman" w:hAnsi="Times New Roman"/>
          <w:sz w:val="20"/>
          <w:szCs w:val="20"/>
          <w:color w:val="auto"/>
        </w:rPr>
        <w:t xml:space="preserve">”) that requires a calculation of any financial ratio or test (including, without limitation, </w:t>
      </w: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any Consolidated Secured Leverage Ratio test, any Consolidated Leverage Ratio test and/or any interest coverage ratio test, the amount of Consolidated EBITDA and/or Consolidated Assets), such financial ratio or test shall be calculated at the time such action is taken, such change is made, such transaction is consummated or such event occurs, as the case may be (any such time, the “</w:t>
      </w:r>
      <w:r>
        <w:rPr>
          <w:rFonts w:ascii="Times New Roman" w:cs="Times New Roman" w:eastAsia="Times New Roman" w:hAnsi="Times New Roman"/>
          <w:sz w:val="20"/>
          <w:szCs w:val="20"/>
          <w:u w:val="single" w:color="auto"/>
          <w:color w:val="auto"/>
        </w:rPr>
        <w:t>Reference Time</w:t>
      </w:r>
      <w:r>
        <w:rPr>
          <w:rFonts w:ascii="Times New Roman" w:cs="Times New Roman" w:eastAsia="Times New Roman" w:hAnsi="Times New Roman"/>
          <w:sz w:val="20"/>
          <w:szCs w:val="20"/>
          <w:color w:val="auto"/>
        </w:rPr>
        <w:t>”). No Default or Event of Default shall be deemed to have occurred as a result of the Proposed Event having occurred notwithstanding the fact that a change in such financial ratio or test occurred after the applicable Reference Time which would have otherwise made the Proposed Event impermissible hereunder.</w:t>
      </w:r>
    </w:p>
    <w:p>
      <w:pPr>
        <w:spacing w:after="0" w:line="185"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1.04 Rounding</w:t>
      </w:r>
      <w:r>
        <w:rPr>
          <w:rFonts w:ascii="Times New Roman" w:cs="Times New Roman" w:eastAsia="Times New Roman" w:hAnsi="Times New Roman"/>
          <w:sz w:val="20"/>
          <w:szCs w:val="20"/>
          <w:color w:val="auto"/>
        </w:rPr>
        <w:t>. Any financial ratios required to be maintained by the Company pursuant to this Agreement shall be calculated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1.05 Exchange Rates; Currency Equivalents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4" w:lineRule="auto"/>
        <w:tabs>
          <w:tab w:leader="none" w:pos="10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Global Swing Line Lender,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L/C Issuer, as applicable.</w:t>
      </w:r>
    </w:p>
    <w:p>
      <w:pPr>
        <w:spacing w:after="0" w:line="18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Wherever in this Agreement in connection with a Committed Borrowing, conversion, continuation or prepayment of a Term SOFR Loan or an Alternative Currency Loan or the issuance,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1" w:name="page222"/>
    <w:bookmarkEnd w:id="221"/>
    <w:p>
      <w:pPr>
        <w:jc w:val="both"/>
        <w:spacing w:after="0" w:line="249" w:lineRule="auto"/>
        <w:rPr>
          <w:sz w:val="20"/>
          <w:szCs w:val="20"/>
          <w:color w:val="auto"/>
        </w:rPr>
      </w:pPr>
      <w:r>
        <w:rPr>
          <w:rFonts w:ascii="Times New Roman" w:cs="Times New Roman" w:eastAsia="Times New Roman" w:hAnsi="Times New Roman"/>
          <w:sz w:val="20"/>
          <w:szCs w:val="20"/>
          <w:color w:val="auto"/>
        </w:rPr>
        <w:t>amendment or extension of a Letter of Credit, an amount, such as a required minimum or multiple amount, is expressed in Dollars, but such Committed Borrowing, Term SOFR Loan, Alternative 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L/C Issuer, as the case may be.</w:t>
      </w:r>
    </w:p>
    <w:p>
      <w:pPr>
        <w:spacing w:after="0" w:line="180" w:lineRule="exact"/>
        <w:rPr>
          <w:sz w:val="20"/>
          <w:szCs w:val="20"/>
          <w:color w:val="auto"/>
        </w:rPr>
      </w:pPr>
    </w:p>
    <w:p>
      <w:pPr>
        <w:jc w:val="both"/>
        <w:ind w:firstLine="757"/>
        <w:spacing w:after="0" w:line="255" w:lineRule="auto"/>
        <w:tabs>
          <w:tab w:leader="none" w:pos="1018"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does not warrant, nor accept responsibility, nor shall the Administrative Agent have any liability with respect to the administration, submission or any other matter related to any reference rate referred to herein, the selection of rates, any related spread or adjustment or with respect to any rate that is an alternative or replacement for or successor to any of such rates (including, without limitation, any Successor Rate) (or any component of any of the foregoing) or the effect of any of the foregoing, or of any Conforming Changes.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without limitation, any Successor Rate) ( or any component of any of the foregoing), in each case pursuant to the terms of this Agreements,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17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1.06 Additional Alternative Currencies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9" w:lineRule="auto"/>
        <w:tabs>
          <w:tab w:leader="none" w:pos="10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request that Alternative Currency Loans be made in a currency other than those specifically listed in the definition of “Alternative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requested currency is an Eligible Currency. In the case of any such request with respect to the making of Alternative Currency Loans, such request shall be subject to the approval of the Administrative Agent and the Lenders.</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request shall be made to the Administrative Agent not later than 11:00 a.m., 20 Business Days prior to the date of the desired Credit Extension (or such other time or date as may be agreed by the Administrative Agent in its reasonable discretion). In the case of any such request pertaining to Alternative Currency Loans, the Administrative Agent shall promptly notify each Appropriate Lender thereof, including the proposed interest rate and related adjustment (if any) applicable thereto. Each Lender shall notify the Administrative Agent, not later than 11:00 a.m., ten Business Days after receipt of such request whether it consents, in its sole discretion, to the making of Alternative Currency Loans in such requested currency.</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by a Lender to respond to such request within the time period specified in the preceding sentence shall be deemed to be a refusal by such Lender to permit Alternative Currency Loans to be made in such requested currency. If the Administrative Agent and all the Lenders consent to making Alternative Currency Loans in such requested currency, the Administrative Agent shall so notify the Company and such currency shall thereupon be deemed for all purposes to be an Alternative Currency hereunder for purposes of any Committed Borrowings of Alternative Currency Loans. If the Administrative Agent shall fail to obtain consent to any request for an additional currency under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the Administrative Agent shall promptly so notify the Company.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ind w:left="840"/>
        <w:spacing w:after="0"/>
        <w:rPr>
          <w:sz w:val="20"/>
          <w:szCs w:val="20"/>
          <w:color w:val="auto"/>
        </w:rPr>
      </w:pPr>
      <w:r>
        <w:rPr>
          <w:rFonts w:ascii="Times New Roman" w:cs="Times New Roman" w:eastAsia="Times New Roman" w:hAnsi="Times New Roman"/>
          <w:sz w:val="20"/>
          <w:szCs w:val="20"/>
          <w:b w:val="1"/>
          <w:bCs w:val="1"/>
          <w:color w:val="auto"/>
        </w:rPr>
        <w:t>1.07  Change of Currency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3"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Committed Borrowing in the currency of such member state is outstanding immediately prior to such date, such replacement shall take effect, with respect to such Committed Borrowing, at the end of the then current Interest Period.</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provision of this Agreement also shall be subject to such reasonable changes of construction as the Administrative Agent may from time to time specify to be appropriate to reflect a change in currency of any country and any relevant market conventions or practices relating to the change in currency.</w:t>
      </w:r>
    </w:p>
    <w:p>
      <w:pPr>
        <w:spacing w:after="0" w:line="170" w:lineRule="exact"/>
        <w:rPr>
          <w:sz w:val="20"/>
          <w:szCs w:val="20"/>
          <w:color w:val="auto"/>
        </w:rPr>
      </w:pPr>
    </w:p>
    <w:p>
      <w:pPr>
        <w:jc w:val="both"/>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1.08 Times of Day</w:t>
      </w:r>
      <w:r>
        <w:rPr>
          <w:rFonts w:ascii="Times New Roman" w:cs="Times New Roman" w:eastAsia="Times New Roman" w:hAnsi="Times New Roman"/>
          <w:sz w:val="20"/>
          <w:szCs w:val="20"/>
          <w:color w:val="auto"/>
        </w:rPr>
        <w:t>. Unless otherwise specified, all references herein to times of day shall be references to Eastern time (daylight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standard, as applicable).</w:t>
      </w:r>
    </w:p>
    <w:p>
      <w:pPr>
        <w:spacing w:after="0" w:line="152"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1.09 Letter of Credit Amounts</w:t>
      </w:r>
      <w:r>
        <w:rPr>
          <w:rFonts w:ascii="Times New Roman" w:cs="Times New Roman" w:eastAsia="Times New Roman" w:hAnsi="Times New Roman"/>
          <w:sz w:val="20"/>
          <w:szCs w:val="20"/>
          <w:color w:val="auto"/>
        </w:rPr>
        <w:t>. Unless otherwise specified herein, the amount of a Letter of Credit at any time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be the stated amount of such Letter of Credit in effect at such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COMMITMENTS AND CREDIT EXTENSIONS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2.01 Committed Loans.</w:t>
      </w:r>
    </w:p>
    <w:p>
      <w:pPr>
        <w:spacing w:after="0" w:line="220" w:lineRule="exact"/>
        <w:rPr>
          <w:sz w:val="20"/>
          <w:szCs w:val="20"/>
          <w:color w:val="auto"/>
        </w:rPr>
      </w:pPr>
    </w:p>
    <w:p>
      <w:pPr>
        <w:jc w:val="both"/>
        <w:ind w:firstLine="757"/>
        <w:spacing w:after="0" w:line="246" w:lineRule="auto"/>
        <w:tabs>
          <w:tab w:leader="none" w:pos="1018"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Subject to the terms and conditions set forth herein, each Term Lender severally agrees to make a single loan to the Company, in Dollars on the Closing Date in an amount not to exceed such Term Lender’s Applicable Percentage of the Term Facility. The Term Borrowing shall consist of Term Loans made simultaneously by the Term Lenders in accordance with their respective Applicable Percentage of the Term Facility. Term Borrowings repaid or prepaid may not be reborrowed. Term Loans may be Base Rate Loans or Term SOFR Loans, as further provided herein.</w:t>
      </w:r>
    </w:p>
    <w:p>
      <w:pPr>
        <w:spacing w:after="0" w:line="184"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1"/>
          <w:numId w:val="1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 Subject to the terms and conditions set forth herein, (i) each U.S. Revolving Credit Lender severally agrees to make loans (each such loan, a “</w:t>
      </w:r>
      <w:r>
        <w:rPr>
          <w:rFonts w:ascii="Times New Roman" w:cs="Times New Roman" w:eastAsia="Times New Roman" w:hAnsi="Times New Roman"/>
          <w:sz w:val="19"/>
          <w:szCs w:val="19"/>
          <w:u w:val="single" w:color="auto"/>
          <w:color w:val="auto"/>
        </w:rPr>
        <w:t>U.S. Revolving Credit Loan</w:t>
      </w:r>
      <w:r>
        <w:rPr>
          <w:rFonts w:ascii="Times New Roman" w:cs="Times New Roman" w:eastAsia="Times New Roman" w:hAnsi="Times New Roman"/>
          <w:sz w:val="19"/>
          <w:szCs w:val="19"/>
          <w:color w:val="auto"/>
        </w:rPr>
        <w:t>”) to the Company and each Domestic Subsidiary of the Company from time to time party hereto as a Designated Borrower in Dollars, from time to time on any Business Day during the Availability Period, in an aggregate amount not to exceed at any time outstanding the amount of such U.S. Revolving Credit Lender’s U.S. Revolving Credit Commitment; and</w:t>
      </w:r>
    </w:p>
    <w:p>
      <w:pPr>
        <w:ind w:left="300" w:hanging="292"/>
        <w:spacing w:after="0"/>
        <w:tabs>
          <w:tab w:leader="none" w:pos="3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Global Revolving Credit Lender severally</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23" w:name="page224"/>
    <w:bookmarkEnd w:id="223"/>
    <w:p>
      <w:pPr>
        <w:jc w:val="both"/>
        <w:spacing w:after="0" w:line="244" w:lineRule="auto"/>
        <w:rPr>
          <w:sz w:val="20"/>
          <w:szCs w:val="20"/>
          <w:color w:val="auto"/>
        </w:rPr>
      </w:pPr>
      <w:r>
        <w:rPr>
          <w:rFonts w:ascii="Times New Roman" w:cs="Times New Roman" w:eastAsia="Times New Roman" w:hAnsi="Times New Roman"/>
          <w:sz w:val="20"/>
          <w:szCs w:val="20"/>
          <w:color w:val="auto"/>
        </w:rPr>
        <w:t>agrees to make loans (each such loan, a “</w:t>
      </w:r>
      <w:r>
        <w:rPr>
          <w:rFonts w:ascii="Times New Roman" w:cs="Times New Roman" w:eastAsia="Times New Roman" w:hAnsi="Times New Roman"/>
          <w:sz w:val="20"/>
          <w:szCs w:val="20"/>
          <w:u w:val="single" w:color="auto"/>
          <w:color w:val="auto"/>
        </w:rPr>
        <w:t>Global Revolving Credit Loan</w:t>
      </w:r>
      <w:r>
        <w:rPr>
          <w:rFonts w:ascii="Times New Roman" w:cs="Times New Roman" w:eastAsia="Times New Roman" w:hAnsi="Times New Roman"/>
          <w:sz w:val="20"/>
          <w:szCs w:val="20"/>
          <w:color w:val="auto"/>
        </w:rPr>
        <w:t>”) to the Company or any Designated Foreign Borrower in Dollars or in one or more Alternative Currencies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only the Company and any Canadian Borrower shall be permitted to borrow Loans denominated in Canadian Dollars and (B) no Canadian Borrower shall be permitted to borrow Loans denominated in any currency other than Canadian Dollars), on any Business Day during the Availability Period, in an aggregate amount not to exceed at any time outstanding the amount of such Global Revolving Credit Lender’s Global Revolving Credit Commitment;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the Designated Foreign Borrowers shall only be permitted to borrow Global Revolving Credit Loans and (y) after giving effect to any Committed Borrowing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left="760" w:right="20" w:hanging="3"/>
        <w:spacing w:after="0" w:line="258" w:lineRule="auto"/>
        <w:tabs>
          <w:tab w:leader="none" w:pos="11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Total U.S. Revolving Credit Outstandings shall not exceed the U.S. Revolving Credit Facility and (2) the Total Global Revolving Credit Outstandings shall not exceed the Global Revolving Credit Facility;</w:t>
      </w:r>
    </w:p>
    <w:p>
      <w:pPr>
        <w:spacing w:after="0" w:line="158" w:lineRule="exact"/>
        <w:rPr>
          <w:rFonts w:ascii="Times New Roman" w:cs="Times New Roman" w:eastAsia="Times New Roman" w:hAnsi="Times New Roman"/>
          <w:sz w:val="22"/>
          <w:szCs w:val="22"/>
          <w:color w:val="auto"/>
        </w:rPr>
      </w:pPr>
    </w:p>
    <w:p>
      <w:pPr>
        <w:jc w:val="both"/>
        <w:ind w:left="760" w:hanging="3"/>
        <w:spacing w:after="0" w:line="235" w:lineRule="auto"/>
        <w:tabs>
          <w:tab w:leader="none" w:pos="11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(1) the aggregate Outstanding Amount of the U.S. Revolving Credit Loans of any U.S. Revolving Credit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U.S. Revolving Credit Lender’s Applicable Percentage of the Outstanding Amount of all U.S. Swing Line Loans,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U.S. Revolving Credit Lender’s Applicable Percentage of the Outstanding Amount of all L/C Obligations shall not exceed such U.S. Revolving Credit Lender’s U.S. Revolving Credit Commitment; and (2) the aggregate Outstanding Amount of the Global Revolving Credit Loans of any Global Revolving Credit Lender,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such Global Revolving Credit Lender’s Applicable Percentage of the Outstanding Amount of all Global Swing Line Loans shall not exceed such Global Revolving Credit Lender’s Global Revolving Credit Commitment; and</w:t>
      </w:r>
    </w:p>
    <w:p>
      <w:pPr>
        <w:spacing w:after="0" w:line="183" w:lineRule="exact"/>
        <w:rPr>
          <w:rFonts w:ascii="Times New Roman" w:cs="Times New Roman" w:eastAsia="Times New Roman" w:hAnsi="Times New Roman"/>
          <w:sz w:val="22"/>
          <w:szCs w:val="22"/>
          <w:color w:val="auto"/>
        </w:rPr>
      </w:pPr>
    </w:p>
    <w:p>
      <w:pPr>
        <w:ind w:left="760" w:right="20" w:hanging="3"/>
        <w:spacing w:after="0" w:line="258" w:lineRule="auto"/>
        <w:tabs>
          <w:tab w:leader="none" w:pos="119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Outstanding Amount of all Committed Loans made to the Designated Borrowers shall not exceed the Designated Foreign Borrower Sublimit.</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Within the limits of each Lender’s Commitment, and subject to the other terms and conditions hereof, the Borrowers may borrow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xml:space="preserve">, prepay under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and reborrow under this </w:t>
      </w:r>
      <w:r>
        <w:rPr>
          <w:rFonts w:ascii="Times New Roman" w:cs="Times New Roman" w:eastAsia="Times New Roman" w:hAnsi="Times New Roman"/>
          <w:sz w:val="20"/>
          <w:szCs w:val="20"/>
          <w:u w:val="single" w:color="auto"/>
          <w:color w:val="auto"/>
        </w:rPr>
        <w:t>Section 2.01(b)</w:t>
      </w:r>
      <w:r>
        <w:rPr>
          <w:rFonts w:ascii="Times New Roman" w:cs="Times New Roman" w:eastAsia="Times New Roman" w:hAnsi="Times New Roman"/>
          <w:sz w:val="20"/>
          <w:szCs w:val="20"/>
          <w:color w:val="auto"/>
        </w:rPr>
        <w:t>. Revolving Loans may be Base Rate Loans, Term SOFR Loans or Alternative Currency Loans, as further provided herein.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With respect to any Committed Borrowing to be made on the Closing Date or any of the two (2) Business Days following the Closing Date (and for which a Committed Loan Notice will be delivered prior to the Closing Date), such Committed Borrowing shall be made as Base Rate Loans unless the Company also delivers a Funding Indemnity Letter not less than two (2) Business Days prior to the Closing Date.</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2.02 Borrowings, Conversions and Continuations of Committed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3" w:lineRule="auto"/>
        <w:tabs>
          <w:tab w:leader="none" w:pos="101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Committed Borrowing, each conversion of Committed Loans from one Type to the other, and each continuation of Term SOFR Loans or Alternative Currency Term Rate Loans shall be made upon the Company’s irrevocable notice to the Administrative Agent, which may be given by (A) telephone or (B) a Committed Loan Notice;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telephonic notice must be confirmed promptly by delivery to the Administrative Agent of a Committed Loan Notice. Each such Committed Loan Notice must be received by the Administrative Agent not later than 12:00 p.m. (noon) (Eastern time (for any Dollar-denominated or Canadian Dollar-denominated Loan request) or London time (for any Alternative Currency-denominated (other than Canadian Dollar-denominated) Loan request) (i) three Business Days prior to the requested date of any Borrowing of, conversion to or continuation of Term SOFR Loans denominated in Dollars or of any conversion of Term SOFR Loans to Base Rate Committed Loans, (ii)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jc w:val="both"/>
        <w:spacing w:after="0"/>
        <w:rPr>
          <w:sz w:val="20"/>
          <w:szCs w:val="20"/>
          <w:color w:val="auto"/>
        </w:rPr>
      </w:pPr>
      <w:r>
        <w:rPr>
          <w:rFonts w:ascii="Times New Roman" w:cs="Times New Roman" w:eastAsia="Times New Roman" w:hAnsi="Times New Roman"/>
          <w:sz w:val="20"/>
          <w:szCs w:val="20"/>
          <w:color w:val="auto"/>
        </w:rPr>
        <w:t xml:space="preserve">four Business Days (or five Business Days in the case of a Special Notice Currency) prior to the requested date of any Borrowing or continuation of Alternative Currency Term Rate Loans, and (iii) on the requested date of any Borrowing of Base Rate Committed Loans. Each Borrowing of, conversion to or continuation of Term SOFR Loans or Alternative Currency Term Rate Loan shall be in a principal amount equal to the Dollar Equivalent of $1,000,000 or a whole multiple of the Dollar Equivalent of $500,000 in excess thereof (or, in connection with any conversion or continuation of a Term Loan, if less, the entire principal thereof then outstanding). Except as provided in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each Committed Borrowing of or conversion to Base Rate Committed Loans shall be in a principal amount equal to the Dollar Equivalent of $500,000 or a whole multiple of the Dollar Equivalent of $100,000 in excess thereof (or, in connection with any conversion or continuation of a Term Loan, if less, the entire principal thereof then outstanding). Each Committed Loan Notice shall specify (i) whether the Company is requesting a Committed Borrowing, a conversion of Committed Loans from one Type to the other, or a continuation of Loans, as the case may be,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(vi) the currency of the Committed Loans to be borrowed, and (vii) if applicable, the identity of the applicable Borrower. If the Company fails to specify a currency in a Committed Loan Notice requesting a Borrowing, then the Committed Loans so requested shall be made in Dollars. If the Company fails to specify a Type of Committed Loan in a Committed Loan Notice or if the Company fails to give a timely notice requesting a conversion or continuation, then the applicable Committed Loans shall be made as, or converted to, Base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 failure to timely request a continuation of Alternative Currency Term Rate Loans, such Loans shall be continued as Alternative Currency Term Rate Loans in their original currency with an Interest Period of one month. Any automatic conversion to Base Rate Loans shall be effective as of the last day of the Interest Period then in effect with respect to the applicable Term SOFR Loans or Alternative Currency Term Rate Loans, as they case may be. If the Company requests a Borrowing of, conversion to, or continuation of Term SOFR Loans or Alternative Currency Term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spacing w:after="0" w:line="205" w:lineRule="exact"/>
        <w:rPr>
          <w:sz w:val="20"/>
          <w:szCs w:val="20"/>
          <w:color w:val="auto"/>
        </w:rPr>
      </w:pPr>
    </w:p>
    <w:p>
      <w:pPr>
        <w:jc w:val="both"/>
        <w:ind w:firstLine="757"/>
        <w:spacing w:after="0" w:line="241" w:lineRule="auto"/>
        <w:tabs>
          <w:tab w:leader="none" w:pos="101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Following receipt of a Committed Loan Notice, the Administrative Agent shall promptly notify each Lender of the amount (and currency) of its Applicable Percentage under the applicable Facility of the applicable Committed Loans, and if no timely notice of a conversion or continuation is provided by the Company, the Administrative Agent shall notify each Lender of the details of any automatic conversion to Base Rate Loans or continuation of Committed Loans denominated in a currency other than Dollars, in each case as described in the preceding clause. In the case of a Committed Borrowing, each Appropriate Lender shall make the amount of its Committed Loan available to the Administrative Agent in Same Day Funds at the Administrative Agent’s Office for the applicable currency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(and, if such Borrowing is the initial Credit Extension,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on the date the Committed Loan Notice with respect to such Borrowing denominated in Dollars is given by the Company, there are L/C Borrowings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spacing w:after="0" w:line="269" w:lineRule="auto"/>
        <w:rPr>
          <w:sz w:val="20"/>
          <w:szCs w:val="20"/>
          <w:color w:val="auto"/>
        </w:rPr>
      </w:pPr>
      <w:r>
        <w:rPr>
          <w:rFonts w:ascii="Times New Roman" w:cs="Times New Roman" w:eastAsia="Times New Roman" w:hAnsi="Times New Roman"/>
          <w:sz w:val="20"/>
          <w:szCs w:val="20"/>
          <w:color w:val="auto"/>
        </w:rPr>
        <w:t xml:space="preserve">outstanding, then the proceeds of such Borrowing,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shall be applied to the payment in full of any such L/C Borrowings,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shall be made available to the applicable Borrower as provided above.</w:t>
      </w:r>
    </w:p>
    <w:p>
      <w:pPr>
        <w:spacing w:after="0" w:line="159" w:lineRule="exact"/>
        <w:rPr>
          <w:sz w:val="20"/>
          <w:szCs w:val="20"/>
          <w:color w:val="auto"/>
        </w:rPr>
      </w:pPr>
    </w:p>
    <w:p>
      <w:pPr>
        <w:jc w:val="both"/>
        <w:ind w:firstLine="757"/>
        <w:spacing w:after="0" w:line="245"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a Term SOFR Loan or Alternative Currency Term Rate Loan may be continued or converted only on the last day of an Interest Period for such Term SOFR Loan or Alternative Currency Term Rate Loans. During the existence of a Default, no Loans may be requested as, converted to or continued as Term SOFR Loans or Alternative Currency Term Rate Loans without the consent of the Required Lenders, and the Required Lenders may demand that any or all of the then outstanding Alternative Currency Term Rate Loans be prepaid, or redenominated into Dollars in the amount of the Dollar Equivalent thereof, on the last day of the then current Interest Period with respect thereto.</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promptly notify the Company and the Lenders of the interest rate applicable to any Interest Period for Term SOFR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giving effect to all Term Borrowings, all conversions of Term Loans from one Type to the other, and all continuations of Term Loans as the same Type, there shall not be more than four (4) Interest Periods in effect in respect of the Term Facility. After giving effect to all Revolving Borrowings, all conversions of Revolving Loans from one Type to the other, and all continuations of Revolving Loans as the same Type, there shall not be more than twelve (12) Interest Periods in effect in respect of the Revolving Facility.</w:t>
      </w:r>
    </w:p>
    <w:p>
      <w:pPr>
        <w:spacing w:after="0" w:line="17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(i)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 and (ii) to the extent any Loan bearing interest at the Eurodollar Rate (as such term was defined in this Agreement immediately prior to giving effect to the First Amendment) is outstanding on the First Amendment Effective Date, such Loan shall continue to bear interest at the Eurodollar Rate (but, for the avoidance of doubt, the “Applicable Rate” for such Loans shall be the Applicable Rate for Term SOFR Loans being determined in accordance with this Agreement (after giving effect to the First Amendment)) until the end of the current Interest Period or payment period applicable to such Loan.</w:t>
      </w:r>
    </w:p>
    <w:p>
      <w:pPr>
        <w:spacing w:after="0" w:line="18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SOFR, Term SOFR, Alternative Currency Daily Rate, and Alternative Currency Term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with respect to any such amendment effected, the Administrative Agent shall post each such amendment implementing such Conforming Changes to the Borrowers and the Lenders reasonably promptly after such amendment becomes effective.</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2.03 Letters of Credit.</w:t>
      </w:r>
    </w:p>
    <w:p>
      <w:pPr>
        <w:spacing w:after="0" w:line="220" w:lineRule="exact"/>
        <w:rPr>
          <w:sz w:val="20"/>
          <w:szCs w:val="20"/>
          <w:color w:val="auto"/>
        </w:rPr>
      </w:pPr>
    </w:p>
    <w:p>
      <w:pPr>
        <w:ind w:left="1020" w:hanging="263"/>
        <w:spacing w:after="0"/>
        <w:tabs>
          <w:tab w:leader="none" w:pos="102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Letter of Credit Commitment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set forth herein, (A) the L/C Issuer agrees, in reliance upon the agreements of the U.S. Revolving Credit Lenders set forth in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jc w:val="both"/>
        <w:ind w:left="3" w:hanging="3"/>
        <w:spacing w:after="0" w:line="241" w:lineRule="auto"/>
        <w:tabs>
          <w:tab w:leader="none" w:pos="297"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from time to time on any Business Day during the period from the Closing Date until the Letter of Credit Expiration Date, to issue Letters of Credit denominated in Dollars for the account of the Company, and to amend or extend Letters of Credit previously issued by it, in accordance with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and (2) to honor drawings under the Letters of Credit; and (B) the U.S. Revolving Credit Lenders severally agree to participate in Letters of Credit issued for the account of the Company and any drawings thereunder;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L/C Credit Extension with respect to any Letter of Credit, (1) the Total Revolving Outstandings shall not exceed the Revolving Facility, (2) the Total U.S. Revolving Credit Outstandings shall not exceed the U.S. Revolving Credit Facility, (3) the aggregate Outstanding Amount of the U.S. Revolving Credit Loans of any U.S. Revolving Credit Lender,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such U.S. Revolving Credit Lender’s Applicable Percentage of the Outstanding Amount of all L/C Obligations shall not exceed such U.S. Revolving Credit Lender’s U.S. Revolving Credit Commitment, and (4)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 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w:t>
      </w:r>
    </w:p>
    <w:p>
      <w:pPr>
        <w:spacing w:after="0" w:line="194"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issue any Letter of Credit, if:</w:t>
      </w:r>
    </w:p>
    <w:p>
      <w:pPr>
        <w:spacing w:after="0" w:line="216" w:lineRule="exact"/>
        <w:rPr>
          <w:sz w:val="20"/>
          <w:szCs w:val="20"/>
          <w:color w:val="auto"/>
        </w:rPr>
      </w:pPr>
    </w:p>
    <w:p>
      <w:pPr>
        <w:ind w:left="743" w:firstLine="749"/>
        <w:spacing w:after="0" w:line="269" w:lineRule="auto"/>
        <w:rPr>
          <w:sz w:val="20"/>
          <w:szCs w:val="20"/>
          <w:color w:val="auto"/>
        </w:rPr>
      </w:pPr>
      <w:r>
        <w:rPr>
          <w:rFonts w:ascii="Times New Roman" w:cs="Times New Roman" w:eastAsia="Times New Roman" w:hAnsi="Times New Roman"/>
          <w:sz w:val="20"/>
          <w:szCs w:val="20"/>
          <w:color w:val="auto"/>
        </w:rPr>
        <w:t>(A)the expiry date of such requested Letter of Credit would occur more than twelve months after the date of issuance, unless the Required Lenders have approved such expiry date; or</w:t>
      </w:r>
    </w:p>
    <w:p>
      <w:pPr>
        <w:spacing w:after="0" w:line="159" w:lineRule="exact"/>
        <w:rPr>
          <w:sz w:val="20"/>
          <w:szCs w:val="20"/>
          <w:color w:val="auto"/>
        </w:rPr>
      </w:pPr>
    </w:p>
    <w:p>
      <w:pPr>
        <w:ind w:left="743" w:firstLine="754"/>
        <w:spacing w:after="0" w:line="269" w:lineRule="auto"/>
        <w:tabs>
          <w:tab w:leader="none" w:pos="1791"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expiry date of such requested Letter of Credit would occur after the Letter of Credit Expiration Date, unless all the U.S. Revolving Credit Lenders have approved such expiry date.</w:t>
      </w:r>
    </w:p>
    <w:p>
      <w:pPr>
        <w:spacing w:after="0" w:line="159"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be under any obligation to issue any Letter of Credit if:</w:t>
      </w:r>
    </w:p>
    <w:p>
      <w:pPr>
        <w:spacing w:after="0" w:line="216" w:lineRule="exact"/>
        <w:rPr>
          <w:sz w:val="20"/>
          <w:szCs w:val="20"/>
          <w:color w:val="auto"/>
        </w:rPr>
      </w:pPr>
    </w:p>
    <w:p>
      <w:pPr>
        <w:jc w:val="both"/>
        <w:ind w:left="743" w:firstLine="749"/>
        <w:spacing w:after="0" w:line="243" w:lineRule="auto"/>
        <w:rPr>
          <w:sz w:val="20"/>
          <w:szCs w:val="20"/>
          <w:color w:val="auto"/>
        </w:rPr>
      </w:pPr>
      <w:r>
        <w:rPr>
          <w:rFonts w:ascii="Times New Roman" w:cs="Times New Roman" w:eastAsia="Times New Roman" w:hAnsi="Times New Roman"/>
          <w:sz w:val="20"/>
          <w:szCs w:val="20"/>
          <w:color w:val="auto"/>
        </w:rPr>
        <w:t>(A)any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89" w:lineRule="exact"/>
        <w:rPr>
          <w:sz w:val="20"/>
          <w:szCs w:val="20"/>
          <w:color w:val="auto"/>
        </w:rPr>
      </w:pPr>
    </w:p>
    <w:p>
      <w:pPr>
        <w:ind w:left="743" w:firstLine="754"/>
        <w:spacing w:after="0" w:line="269" w:lineRule="auto"/>
        <w:tabs>
          <w:tab w:leader="none" w:pos="179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such Letter of Credit would violate one or more policies of the L/C Issuer applicable to letters of credit generally;</w:t>
      </w:r>
    </w:p>
    <w:p>
      <w:pPr>
        <w:spacing w:after="0" w:line="159" w:lineRule="exact"/>
        <w:rPr>
          <w:rFonts w:ascii="Times New Roman" w:cs="Times New Roman" w:eastAsia="Times New Roman" w:hAnsi="Times New Roman"/>
          <w:sz w:val="20"/>
          <w:szCs w:val="20"/>
          <w:color w:val="auto"/>
        </w:rPr>
      </w:pPr>
    </w:p>
    <w:p>
      <w:pPr>
        <w:ind w:left="743" w:firstLine="754"/>
        <w:spacing w:after="0" w:line="269" w:lineRule="auto"/>
        <w:tabs>
          <w:tab w:leader="none" w:pos="1791"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agreed by the Administrative Agent and the L/C Issuer, such Letter of Credit is in an initial stated amount less than $100,000;</w:t>
      </w:r>
    </w:p>
    <w:p>
      <w:pPr>
        <w:spacing w:after="0" w:line="159" w:lineRule="exact"/>
        <w:rPr>
          <w:sz w:val="20"/>
          <w:szCs w:val="20"/>
          <w:color w:val="auto"/>
        </w:rPr>
      </w:pPr>
    </w:p>
    <w:p>
      <w:pPr>
        <w:ind w:left="1503"/>
        <w:spacing w:after="0"/>
        <w:rPr>
          <w:sz w:val="20"/>
          <w:szCs w:val="20"/>
          <w:color w:val="auto"/>
        </w:rPr>
      </w:pPr>
      <w:r>
        <w:rPr>
          <w:rFonts w:ascii="Times New Roman" w:cs="Times New Roman" w:eastAsia="Times New Roman" w:hAnsi="Times New Roman"/>
          <w:sz w:val="20"/>
          <w:szCs w:val="20"/>
          <w:color w:val="auto"/>
        </w:rPr>
        <w:t>(D)such Letter of Credit is to be denominated in a currency other than Dollars;</w:t>
      </w:r>
    </w:p>
    <w:p>
      <w:pPr>
        <w:spacing w:after="0" w:line="200" w:lineRule="exact"/>
        <w:rPr>
          <w:sz w:val="20"/>
          <w:szCs w:val="20"/>
          <w:color w:val="auto"/>
        </w:rPr>
      </w:pPr>
    </w:p>
    <w:p>
      <w:pPr>
        <w:spacing w:after="0" w:line="268"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27" w:name="page228"/>
    <w:bookmarkEnd w:id="227"/>
    <w:p>
      <w:pPr>
        <w:jc w:val="both"/>
        <w:ind w:left="743" w:firstLine="754"/>
        <w:spacing w:after="0" w:line="245" w:lineRule="auto"/>
        <w:tabs>
          <w:tab w:leader="none" w:pos="1791"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U.S. Revolving Credit Lender is at that time a Defaulting Lender, unless the L/C Issuer has entered into arrangements, including the delivery of Cash Collateral, satisfactory to the L/C Issuer (in its sole discretion) with the Company or such U.S. Revolving Credit Lender to eliminate the L/C Issuer’s actual or potential Fronting Exposure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84" w:lineRule="exact"/>
        <w:rPr>
          <w:rFonts w:ascii="Times New Roman" w:cs="Times New Roman" w:eastAsia="Times New Roman" w:hAnsi="Times New Roman"/>
          <w:sz w:val="20"/>
          <w:szCs w:val="20"/>
          <w:color w:val="auto"/>
        </w:rPr>
      </w:pPr>
    </w:p>
    <w:p>
      <w:pPr>
        <w:ind w:left="743" w:firstLine="754"/>
        <w:spacing w:after="0" w:line="269" w:lineRule="auto"/>
        <w:tabs>
          <w:tab w:leader="none" w:pos="1791"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Letter of Credit contains any provisions for automatic reinstatement of the stated amount after any drawing thereunder.</w:t>
      </w:r>
    </w:p>
    <w:p>
      <w:pPr>
        <w:spacing w:after="0" w:line="159" w:lineRule="exact"/>
        <w:rPr>
          <w:rFonts w:ascii="Times New Roman" w:cs="Times New Roman" w:eastAsia="Times New Roman" w:hAnsi="Times New Roman"/>
          <w:sz w:val="20"/>
          <w:szCs w:val="20"/>
          <w:color w:val="auto"/>
        </w:rPr>
      </w:pPr>
    </w:p>
    <w:p>
      <w:pPr>
        <w:ind w:left="3" w:firstLine="745"/>
        <w:spacing w:after="0" w:line="269" w:lineRule="auto"/>
        <w:tabs>
          <w:tab w:leader="none" w:pos="129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not amend any Letter of Credit if the L/C Issuer would not be permitted at such time to issue such Letter of Credit in its amended form under the terms hereof.</w:t>
      </w:r>
    </w:p>
    <w:p>
      <w:pPr>
        <w:spacing w:after="0" w:line="15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291"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L/C Issuer shall act on behalf of the U.S. Revolving Credit Lenders with respect to any Letters of Credit issued by it and the documents associated therewith, and the L/C Issuer shall have all of the benefits and immunities (A) provided to the Administrative Agent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subject to any limitations set forth therein,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included the L/C Issuer with respect to such acts or omissions, and (B) as additionally provided herein with respect to the L/C Issuer.</w:t>
      </w:r>
    </w:p>
    <w:p>
      <w:pPr>
        <w:spacing w:after="0" w:line="184"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 for Issuance and Amendment of Letters of Credit; Auto-Extension Letters of Credit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1" w:lineRule="auto"/>
        <w:tabs>
          <w:tab w:leader="none" w:pos="1291"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Letter of Credit shall be issued or amended, as the case may be, upon the request of the Company delivered to the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11:00 a.m.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w:t>
      </w:r>
    </w:p>
    <w:p>
      <w:pPr>
        <w:spacing w:after="0" w:line="200" w:lineRule="exact"/>
        <w:rPr>
          <w:sz w:val="20"/>
          <w:szCs w:val="20"/>
          <w:color w:val="auto"/>
        </w:rPr>
      </w:pPr>
    </w:p>
    <w:p>
      <w:pPr>
        <w:spacing w:after="0" w:line="246"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28" w:name="page229"/>
    <w:bookmarkEnd w:id="228"/>
    <w:p>
      <w:pPr>
        <w:jc w:val="both"/>
        <w:spacing w:after="0" w:line="249" w:lineRule="auto"/>
        <w:rPr>
          <w:sz w:val="20"/>
          <w:szCs w:val="20"/>
          <w:color w:val="auto"/>
        </w:rPr>
      </w:pPr>
      <w:r>
        <w:rPr>
          <w:rFonts w:ascii="Times New Roman" w:cs="Times New Roman" w:eastAsia="Times New Roman" w:hAnsi="Times New Roman"/>
          <w:sz w:val="20"/>
          <w:szCs w:val="20"/>
          <w:color w:val="auto"/>
        </w:rPr>
        <w:t>proposed date of amendment thereof (which shall be a Business Day); (C) the nature of the proposed amendment; and (D) such other matters as the L/C Issuer may require. Additionally, the Company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80" w:lineRule="exact"/>
        <w:rPr>
          <w:sz w:val="20"/>
          <w:szCs w:val="20"/>
          <w:color w:val="auto"/>
        </w:rPr>
      </w:pPr>
    </w:p>
    <w:p>
      <w:pPr>
        <w:jc w:val="both"/>
        <w:ind w:firstLine="745"/>
        <w:spacing w:after="0" w:line="242" w:lineRule="auto"/>
        <w:tabs>
          <w:tab w:leader="none" w:pos="128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Company and, if not, the L/C Issuer will provide the Administrative Agent with a copy thereof. Unless the L/C Issuer has received written notice from any U.S. Revolving Credit Lender, the Administrative Agent or any Loan Party, at least one Business Day prior to the requested date of issuance or amendment of the applicable Letter of Credit, that one or more applicable conditions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not then be satisfied, then, subject to the terms and conditions hereof, the L/C Issuer shall, on the requested date, issue a Letter of Credit for the account of the Company or enter into the applicable amendment, as the case may be, in each case in accordance with the L/C Issuer’s usual and customary business practices. Immediately upon the issuance of each Letter of Credit, each U.S. Revolving Credit Lender shall be deemed to, and hereby irrevocably and unconditionally agrees to, purchase from the L/C Issuer a risk participation in such Letter of Credit in an amount equal to the product of such U.S. Revolving Credit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Letter of Credit.</w:t>
      </w:r>
    </w:p>
    <w:p>
      <w:pPr>
        <w:spacing w:after="0" w:line="189" w:lineRule="exact"/>
        <w:rPr>
          <w:rFonts w:ascii="Times New Roman" w:cs="Times New Roman" w:eastAsia="Times New Roman" w:hAnsi="Times New Roman"/>
          <w:sz w:val="20"/>
          <w:szCs w:val="20"/>
          <w:color w:val="auto"/>
        </w:rPr>
      </w:pPr>
    </w:p>
    <w:p>
      <w:pPr>
        <w:jc w:val="both"/>
        <w:ind w:firstLine="745"/>
        <w:spacing w:after="0" w:line="254" w:lineRule="auto"/>
        <w:tabs>
          <w:tab w:leader="none" w:pos="128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its delivery of any Letter of Credit or any amendment to a Letter of Credit to an advising bank with respect thereto or to the beneficiary thereof, the L/C Issuer will also deliver to the Company and the Administrative Agent a true and complete copy of such Letter of Credit or amendment.</w:t>
      </w:r>
    </w:p>
    <w:p>
      <w:pPr>
        <w:spacing w:after="0" w:line="174" w:lineRule="exact"/>
        <w:rPr>
          <w:rFonts w:ascii="Times New Roman" w:cs="Times New Roman" w:eastAsia="Times New Roman" w:hAnsi="Times New Roman"/>
          <w:sz w:val="20"/>
          <w:szCs w:val="20"/>
          <w:color w:val="auto"/>
        </w:rPr>
      </w:pPr>
    </w:p>
    <w:p>
      <w:pPr>
        <w:jc w:val="both"/>
        <w:ind w:firstLine="745"/>
        <w:spacing w:after="0" w:line="241" w:lineRule="auto"/>
        <w:tabs>
          <w:tab w:leader="none" w:pos="1288"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so requests in any applicable Letter of Credit Application, the L/C Issuer may, in its sole discretion, agree to issue a Letter of Credit that has automatic extension provisions (each, an “</w:t>
      </w:r>
      <w:r>
        <w:rPr>
          <w:rFonts w:ascii="Times New Roman" w:cs="Times New Roman" w:eastAsia="Times New Roman" w:hAnsi="Times New Roman"/>
          <w:sz w:val="20"/>
          <w:szCs w:val="20"/>
          <w:u w:val="single" w:color="auto"/>
          <w:color w:val="auto"/>
        </w:rPr>
        <w:t>Auto-Extension Letter of Credit</w:t>
      </w:r>
      <w:r>
        <w:rPr>
          <w:rFonts w:ascii="Times New Roman" w:cs="Times New Roman" w:eastAsia="Times New Roman" w:hAnsi="Times New Roman"/>
          <w:sz w:val="20"/>
          <w:szCs w:val="20"/>
          <w:color w:val="auto"/>
        </w:rPr>
        <w:t>”); provided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Times New Roman" w:cs="Times New Roman" w:eastAsia="Times New Roman" w:hAnsi="Times New Roman"/>
          <w:sz w:val="20"/>
          <w:szCs w:val="20"/>
          <w:u w:val="single" w:color="auto"/>
          <w:color w:val="auto"/>
        </w:rPr>
        <w:t>Non-Extension Notice Date</w:t>
      </w:r>
      <w:r>
        <w:rPr>
          <w:rFonts w:ascii="Times New Roman" w:cs="Times New Roman" w:eastAsia="Times New Roman" w:hAnsi="Times New Roman"/>
          <w:sz w:val="20"/>
          <w:szCs w:val="20"/>
          <w:color w:val="auto"/>
        </w:rPr>
        <w:t xml:space="preserve">”) in each such twelve-month period to be agreed upon at the time such Letter of Credit is issued. Unless otherwise directed by the L/C Issuer, the Company shall not be required to make a specific request to the L/C Issuer for any such extension. Once an Auto-Extension Letter of Credit has been issued, the U.S. Revolving Credit Lenders shall be deemed to have authorized (but may not require) the L/C Issuer to permit the extension of such Letter of Credit at any time to an expiry date not later than the Letter of Credit Expiration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Times New Roman" w:cs="Times New Roman" w:eastAsia="Times New Roman" w:hAnsi="Times New Roman"/>
          <w:sz w:val="20"/>
          <w:szCs w:val="20"/>
          <w:u w:val="single" w:color="auto"/>
          <w:color w:val="auto"/>
        </w:rPr>
        <w:t>Section 2.03(a)</w:t>
      </w:r>
      <w:r>
        <w:rPr>
          <w:rFonts w:ascii="Times New Roman" w:cs="Times New Roman" w:eastAsia="Times New Roman" w:hAnsi="Times New Roman"/>
          <w:sz w:val="20"/>
          <w:szCs w:val="20"/>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U.S. Revolving Credit Lender or the Company that one or more of the applicable conditions specified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not then satisfied, and in each such case directing the L/C Issuer not to permit such extension.</w:t>
      </w: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616585</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229" w:name="page230"/>
    <w:bookmarkEnd w:id="229"/>
    <w:p>
      <w:pPr>
        <w:ind w:left="263" w:hanging="263"/>
        <w:spacing w:after="0"/>
        <w:tabs>
          <w:tab w:leader="none" w:pos="26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Drawings and Reimbursements; Funding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1" w:lineRule="auto"/>
        <w:tabs>
          <w:tab w:leader="none" w:pos="1291"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receipt from the beneficiary of any Letter of Credit of any notice of a drawing under such Letter of Credit, the L/C Issuer shall notify the Company and the Administrative Agent thereof. Not later than 11:00 a.m. on the date of any payment by the L/C Issuer under a Letter of Credit (each such date, an “</w:t>
      </w:r>
      <w:r>
        <w:rPr>
          <w:rFonts w:ascii="Times New Roman" w:cs="Times New Roman" w:eastAsia="Times New Roman" w:hAnsi="Times New Roman"/>
          <w:sz w:val="20"/>
          <w:szCs w:val="20"/>
          <w:u w:val="single" w:color="auto"/>
          <w:color w:val="auto"/>
        </w:rPr>
        <w:t>Honor Date</w:t>
      </w:r>
      <w:r>
        <w:rPr>
          <w:rFonts w:ascii="Times New Roman" w:cs="Times New Roman" w:eastAsia="Times New Roman" w:hAnsi="Times New Roman"/>
          <w:sz w:val="20"/>
          <w:szCs w:val="20"/>
          <w:color w:val="auto"/>
        </w:rPr>
        <w:t>”), the Company shall reimburse the L/C Issuer through the Administrative Agent in an amount equal to the amount of such drawing. If the Company fails to so reimburse the L/C Issuer by such time, the Administrative Agent shall promptly notify each U.S. Revolving Credit Lender of the Honor Date, the amount of the unreimbursed drawing (the “</w:t>
      </w:r>
      <w:r>
        <w:rPr>
          <w:rFonts w:ascii="Times New Roman" w:cs="Times New Roman" w:eastAsia="Times New Roman" w:hAnsi="Times New Roman"/>
          <w:sz w:val="20"/>
          <w:szCs w:val="20"/>
          <w:u w:val="single" w:color="auto"/>
          <w:color w:val="auto"/>
        </w:rPr>
        <w:t>Unreimbursed Amount</w:t>
      </w:r>
      <w:r>
        <w:rPr>
          <w:rFonts w:ascii="Times New Roman" w:cs="Times New Roman" w:eastAsia="Times New Roman" w:hAnsi="Times New Roman"/>
          <w:sz w:val="20"/>
          <w:szCs w:val="20"/>
          <w:color w:val="auto"/>
        </w:rPr>
        <w:t xml:space="preserve">”), and the amount of such U.S. Revolving Credit Lender’s Applicable Percentage thereof. In such event, the Company shall be deemed to have requested a U.S. Revolving Credit Borrowing of Base Rate Loans to be disbursed on the Honor Date in an amount equal to the Unreimbursed Amount, without regard to the minimum and multiples specified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for the principal amount of Base Rate Loans, but subject to the amount of the unutilized portion of the U.S. Revolving Credit Commitments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the delivery of a Committed Loan Notice). Any notice given by the L/C Issuer or the Administrative Agent pursuant to this </w:t>
      </w:r>
      <w:r>
        <w:rPr>
          <w:rFonts w:ascii="Times New Roman" w:cs="Times New Roman" w:eastAsia="Times New Roman" w:hAnsi="Times New Roman"/>
          <w:sz w:val="20"/>
          <w:szCs w:val="20"/>
          <w:u w:val="single" w:color="auto"/>
          <w:color w:val="auto"/>
        </w:rPr>
        <w:t>Section 2.03(c)(i)</w:t>
      </w:r>
      <w:r>
        <w:rPr>
          <w:rFonts w:ascii="Times New Roman" w:cs="Times New Roman" w:eastAsia="Times New Roman" w:hAnsi="Times New Roman"/>
          <w:sz w:val="20"/>
          <w:szCs w:val="20"/>
          <w:color w:val="auto"/>
        </w:rPr>
        <w:t xml:space="preserve"> may be given by telephone if immediately confirmed in writing;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lack of such an immediate confirmation shall not affect the conclusiveness or binding effect of such notice.</w:t>
      </w:r>
    </w:p>
    <w:p>
      <w:pPr>
        <w:spacing w:after="0" w:line="197" w:lineRule="exact"/>
        <w:rPr>
          <w:rFonts w:ascii="Times New Roman" w:cs="Times New Roman" w:eastAsia="Times New Roman" w:hAnsi="Times New Roman"/>
          <w:sz w:val="20"/>
          <w:szCs w:val="20"/>
          <w:color w:val="auto"/>
        </w:rPr>
      </w:pPr>
    </w:p>
    <w:p>
      <w:pPr>
        <w:jc w:val="both"/>
        <w:ind w:left="3" w:firstLine="745"/>
        <w:spacing w:after="0" w:line="260" w:lineRule="auto"/>
        <w:tabs>
          <w:tab w:leader="none" w:pos="1291" w:val="left"/>
        </w:tabs>
        <w:numPr>
          <w:ilvl w:val="1"/>
          <w:numId w:val="1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U.S. Revolving Credit Lender shall upon any notice pursuant to </w:t>
      </w:r>
      <w:r>
        <w:rPr>
          <w:rFonts w:ascii="Times New Roman" w:cs="Times New Roman" w:eastAsia="Times New Roman" w:hAnsi="Times New Roman"/>
          <w:sz w:val="19"/>
          <w:szCs w:val="19"/>
          <w:u w:val="single" w:color="auto"/>
          <w:color w:val="auto"/>
        </w:rPr>
        <w:t>Section 2.03(c)(i)</w:t>
      </w:r>
      <w:r>
        <w:rPr>
          <w:rFonts w:ascii="Times New Roman" w:cs="Times New Roman" w:eastAsia="Times New Roman" w:hAnsi="Times New Roman"/>
          <w:sz w:val="19"/>
          <w:szCs w:val="19"/>
          <w:color w:val="auto"/>
        </w:rPr>
        <w:t xml:space="preserve"> make funds available (and the Administrative Agent may apply Cash Collateral provided for this purpose) for the account of the L/C Issuer at the Administrative Agent’s Office for payments in an amount equal to its Applicable Percentage of the Unreimbursed Amount not later than 1:00 p.m. on the Business Day specified in such notice by the Administrative Agent, whereupon, subject to the provisions of </w:t>
      </w:r>
      <w:r>
        <w:rPr>
          <w:rFonts w:ascii="Times New Roman" w:cs="Times New Roman" w:eastAsia="Times New Roman" w:hAnsi="Times New Roman"/>
          <w:sz w:val="19"/>
          <w:szCs w:val="19"/>
          <w:u w:val="single" w:color="auto"/>
          <w:color w:val="auto"/>
        </w:rPr>
        <w:t>Section 2.03(c)(iii)</w:t>
      </w:r>
      <w:r>
        <w:rPr>
          <w:rFonts w:ascii="Times New Roman" w:cs="Times New Roman" w:eastAsia="Times New Roman" w:hAnsi="Times New Roman"/>
          <w:sz w:val="19"/>
          <w:szCs w:val="19"/>
          <w:color w:val="auto"/>
        </w:rPr>
        <w:t>, each U.S. Revolving Credit Lender that so makes funds available shall be deemed to have made a Base Rate Committed Loan to the Company in such amount. The Administrative Agent shall remit the funds so received to the L/C Issuer.</w:t>
      </w:r>
    </w:p>
    <w:p>
      <w:pPr>
        <w:spacing w:after="0" w:line="172" w:lineRule="exact"/>
        <w:rPr>
          <w:rFonts w:ascii="Times New Roman" w:cs="Times New Roman" w:eastAsia="Times New Roman" w:hAnsi="Times New Roman"/>
          <w:sz w:val="19"/>
          <w:szCs w:val="19"/>
          <w:color w:val="auto"/>
        </w:rPr>
      </w:pPr>
    </w:p>
    <w:p>
      <w:pPr>
        <w:jc w:val="both"/>
        <w:ind w:left="3" w:firstLine="745"/>
        <w:spacing w:after="0" w:line="243" w:lineRule="auto"/>
        <w:tabs>
          <w:tab w:leader="none" w:pos="1291"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Amount that is not fully refinanced by a U.S. Revolving Credit Borrowing of Base Rate Loans because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cannot be satisfied or for any other reason, the Company shall be deemed to have incurred from the L/C Issuer an L/C Borrowing in the amount of the Unreimbursed Amount that is not so refinanced, which L/C Borrowing shall be due and payable on demand (together with interest) and shall bear interest at the Default Rate. In such event, each U.S. Revolving Credit Lender’s payment to the Administrative Agent for the account of the L/C Issuer pursuant to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xml:space="preserve"> shall be deemed payment in respect of its participation in such L/C Borrowing with respect to the Unreimbursed Amount and shall constitute an L/C Advance from such Lender in satisfaction of its participation obligation under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Until each U.S. Revolving Credit Lender funds its U.S. Revolving Credit Loan or L/C Advance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to reimburse the L/C Issuer for any amount drawn under any Letter of Credit, interest in respect of such U.S. Revolving Credit Lender’s Applicable Percentage of such amount shall be solely for the account of the L/C Issuer.</w:t>
      </w:r>
    </w:p>
    <w:p>
      <w:pPr>
        <w:spacing w:after="0" w:line="174"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291"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U.S. Revolving Credit Lender’s obligation to make U.S. Revolving Credit Loans or L/C Advances to reimburse the L/C Issuer for amounts drawn under Letters of Credit, as contemplated by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shall be absolute and unconditional and shall not be affected by any circumstance, including (A) any setoff, counterclaim, recoupment, defense or other right which such U.S. Revolving Credit Lender may have against the L/C Issuer, the Company or any other Person for any reason whatsoever; (B) the occurrence or continuance of a Default, or (C) any</w:t>
      </w:r>
    </w:p>
    <w:p>
      <w:pPr>
        <w:spacing w:after="0" w:line="200" w:lineRule="exact"/>
        <w:rPr>
          <w:sz w:val="20"/>
          <w:szCs w:val="20"/>
          <w:color w:val="auto"/>
        </w:rPr>
      </w:pPr>
    </w:p>
    <w:p>
      <w:pPr>
        <w:spacing w:after="0" w:line="23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30" w:name="page231"/>
    <w:bookmarkEnd w:id="230"/>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 xml:space="preserve">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U.S. Revolving Credit Lender’s obligation to make U.S. Revolving Credit Loans pursuant to this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(other than delivery by the Company of a Committed Loan Notice). No such making of an L/C Advance shall relieve or otherwise impair the obligation of the Company to reimburse the L/C Issuer for the amount of any payment made by the L/C Issuer under any Letter of Credit, together with interest as provided herein.</w:t>
      </w:r>
    </w:p>
    <w:p>
      <w:pPr>
        <w:spacing w:after="0" w:line="185" w:lineRule="exact"/>
        <w:rPr>
          <w:sz w:val="20"/>
          <w:szCs w:val="20"/>
          <w:color w:val="auto"/>
        </w:rPr>
      </w:pPr>
    </w:p>
    <w:p>
      <w:pPr>
        <w:jc w:val="both"/>
        <w:ind w:left="760" w:firstLine="745"/>
        <w:spacing w:after="0" w:line="242" w:lineRule="auto"/>
        <w:tabs>
          <w:tab w:leader="none" w:pos="2048"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U.S. Revolving Credit Lender fails to make available to the Administrative Agent for the account of the L/C Issuer any amount required to be paid by such U.S. Revolving Credit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2.03(c)(ii)</w:t>
      </w:r>
      <w:r>
        <w:rPr>
          <w:rFonts w:ascii="Times New Roman" w:cs="Times New Roman" w:eastAsia="Times New Roman" w:hAnsi="Times New Roman"/>
          <w:sz w:val="20"/>
          <w:szCs w:val="20"/>
          <w:color w:val="auto"/>
        </w:rPr>
        <w:t>, then, without limiting the other provisions of this Agreement, the L/C Issuer shall be entitled to recover from such U.S. Revolving Credit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plus any administrative, processing or similar fees customarily charged by the L/C Issuer in connection with the foregoing. If such U.S. Revolving Credit Lender pays such amount (with interest and fees as aforesaid), the amount so paid shall constitute such U.S. Revolving Credit Lender’s Committed Loan included in the relevant Committed Borrowing or L/C Advance in respect of the relevant L/C Borrowing, as the case may be. A certificate of the L/C Issuer submitted to any U.S. Revolving Credit Lender (through the Administrative Agent) with respect to any amounts owing under this clause (vi) shall be conclusive absent manifest error.</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after the L/C Issuer has made a payment under any Letter of Credit and has received from any U.S. Revolving Credit Lender such U.S. Revolving Credit Lender’s L/C Advance in respect of such payment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2.03(c)</w:t>
      </w:r>
      <w:r>
        <w:rPr>
          <w:rFonts w:ascii="Times New Roman" w:cs="Times New Roman" w:eastAsia="Times New Roman" w:hAnsi="Times New Roman"/>
          <w:sz w:val="20"/>
          <w:szCs w:val="20"/>
          <w:color w:val="auto"/>
        </w:rPr>
        <w:t>, if the Administrative Agent receives for the account of the L/C Issuer any payment in respect of the related Unreimbursed Amount or interest thereon (whether directly from the Company or otherwise, including proceeds of Cash Collateral applied thereto by the Administrative Agent), the Administrative Agent will distribute to such U.S. Revolving Credit Lender its Applicable Percentage thereof in the same funds as those received by the Administrative Agent.</w:t>
      </w:r>
    </w:p>
    <w:p>
      <w:pPr>
        <w:spacing w:after="0" w:line="18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payment received by the Administrative Agent for the account of the L/C Issuer pursuant to </w:t>
      </w:r>
      <w:r>
        <w:rPr>
          <w:rFonts w:ascii="Times New Roman" w:cs="Times New Roman" w:eastAsia="Times New Roman" w:hAnsi="Times New Roman"/>
          <w:sz w:val="20"/>
          <w:szCs w:val="20"/>
          <w:u w:val="single" w:color="auto"/>
          <w:color w:val="auto"/>
        </w:rPr>
        <w:t>Section 2.03(c)</w:t>
      </w:r>
    </w:p>
    <w:p>
      <w:pPr>
        <w:spacing w:after="0" w:line="21" w:lineRule="exact"/>
        <w:rPr>
          <w:rFonts w:ascii="Times New Roman" w:cs="Times New Roman" w:eastAsia="Times New Roman" w:hAnsi="Times New Roman"/>
          <w:sz w:val="20"/>
          <w:szCs w:val="20"/>
          <w:color w:val="auto"/>
        </w:rPr>
      </w:pPr>
    </w:p>
    <w:p>
      <w:pPr>
        <w:jc w:val="both"/>
        <w:ind w:left="760" w:hanging="3"/>
        <w:spacing w:after="0"/>
        <w:tabs>
          <w:tab w:leader="none" w:pos="1027" w:val="left"/>
        </w:tabs>
        <w:numPr>
          <w:ilvl w:val="0"/>
          <w:numId w:val="1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is required to be returned 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the L/C Issuer in its discretion), each U.S. Revolving Credit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U.S. Revolving Credit Lenders under this clause shall survive the payment in full of the Obligations and the termination of this Agreement.</w:t>
      </w:r>
    </w:p>
    <w:p>
      <w:pPr>
        <w:spacing w:after="0" w:line="191"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Absolute</w:t>
      </w:r>
      <w:r>
        <w:rPr>
          <w:rFonts w:ascii="Times New Roman" w:cs="Times New Roman" w:eastAsia="Times New Roman" w:hAnsi="Times New Roman"/>
          <w:sz w:val="20"/>
          <w:szCs w:val="20"/>
          <w:color w:val="auto"/>
        </w:rPr>
        <w:t>. The obligation of the Company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1" w:name="page232"/>
    <w:bookmarkEnd w:id="231"/>
    <w:p>
      <w:pPr>
        <w:ind w:left="2040" w:hanging="535"/>
        <w:spacing w:after="0"/>
        <w:tabs>
          <w:tab w:leader="none" w:pos="204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such Letter of Credit, this Agreement, or any other Loan Document;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66" w:lineRule="auto"/>
        <w:tabs>
          <w:tab w:leader="none" w:pos="2048"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65"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204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74"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waiver by the L/C Issuer of any requirement that exists for the L/C Issuer’s protection and not the protection of the Company or any waiver by the L/C Issuer which does not in fact materially prejudice the Company;</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honor of a demand for payment presented electronically even if such Letter of Credit requires that demand be in the</w:t>
      </w:r>
    </w:p>
    <w:p>
      <w:pPr>
        <w:spacing w:after="0" w:line="33" w:lineRule="exact"/>
        <w:rPr>
          <w:rFonts w:ascii="Times New Roman" w:cs="Times New Roman" w:eastAsia="Times New Roman" w:hAnsi="Times New Roman"/>
          <w:sz w:val="19"/>
          <w:szCs w:val="19"/>
          <w:color w:val="auto"/>
        </w:rPr>
      </w:pPr>
    </w:p>
    <w:p>
      <w:pPr>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form of a draft;</w:t>
      </w:r>
    </w:p>
    <w:p>
      <w:pPr>
        <w:spacing w:after="0" w:line="193" w:lineRule="exact"/>
        <w:rPr>
          <w:rFonts w:ascii="Times New Roman" w:cs="Times New Roman" w:eastAsia="Times New Roman" w:hAnsi="Times New Roman"/>
          <w:sz w:val="19"/>
          <w:szCs w:val="19"/>
          <w:color w:val="auto"/>
        </w:rPr>
      </w:pPr>
    </w:p>
    <w:p>
      <w:pPr>
        <w:jc w:val="both"/>
        <w:ind w:left="760" w:firstLine="745"/>
        <w:spacing w:after="0" w:line="254" w:lineRule="auto"/>
        <w:tabs>
          <w:tab w:leader="none" w:pos="204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8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shall promptly examine a copy of each Letter of Credit and each amendment thereto that is delivered to it and, in the event of any claim of noncompliance with the Company’s instructions or other irregularity, the Company will immediately notify the L/C Issuer. The Company shall be conclusively deemed to have waived any such claim against the L/C Issuer and its correspondents unless such notice is given as aforesaid.</w:t>
      </w:r>
    </w:p>
    <w:p>
      <w:pPr>
        <w:spacing w:after="0" w:line="180" w:lineRule="exact"/>
        <w:rPr>
          <w:sz w:val="20"/>
          <w:szCs w:val="20"/>
          <w:color w:val="auto"/>
        </w:rPr>
      </w:pPr>
    </w:p>
    <w:p>
      <w:pPr>
        <w:jc w:val="both"/>
        <w:ind w:firstLine="757"/>
        <w:spacing w:after="0" w:line="245" w:lineRule="auto"/>
        <w:tabs>
          <w:tab w:leader="none" w:pos="1018"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Role of L/C Issuer</w:t>
      </w:r>
      <w:r>
        <w:rPr>
          <w:rFonts w:ascii="Times New Roman" w:cs="Times New Roman" w:eastAsia="Times New Roman" w:hAnsi="Times New Roman"/>
          <w:sz w:val="20"/>
          <w:szCs w:val="20"/>
          <w:color w:val="auto"/>
        </w:rPr>
        <w:t>. Each U.S. Revolving Credit Lender and the Company agree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U.S. Revolving Credit Lender for (i) any action taken or omitted in connection herewith at the request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2" w:name="page233"/>
    <w:bookmarkEnd w:id="23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or with the approval of the U.S. Revolving Credit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assumption is not intended to, and shall not, preclude the Company’s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Times New Roman" w:cs="Times New Roman" w:eastAsia="Times New Roman" w:hAnsi="Times New Roman"/>
          <w:sz w:val="20"/>
          <w:szCs w:val="20"/>
          <w:u w:val="single" w:color="auto"/>
          <w:color w:val="auto"/>
        </w:rPr>
        <w:t>Section 2.03(e)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anything in such clauses to the contrary notwithstanding, the Company may have a claim against the L/C Issuer, and the L/C Issuer may be liable to the Company, to the extent, but only to the extent, of any direct, as opposed to consequential or exemplary, damages suffered by the Company which the Company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message or overnight courier, or any other commercially reasonable means of communicating with a beneficiary.</w:t>
      </w:r>
    </w:p>
    <w:p>
      <w:pPr>
        <w:spacing w:after="0" w:line="190" w:lineRule="exact"/>
        <w:rPr>
          <w:sz w:val="20"/>
          <w:szCs w:val="20"/>
          <w:color w:val="auto"/>
        </w:rPr>
      </w:pPr>
    </w:p>
    <w:p>
      <w:pPr>
        <w:jc w:val="both"/>
        <w:ind w:firstLine="757"/>
        <w:spacing w:after="0" w:line="243" w:lineRule="auto"/>
        <w:tabs>
          <w:tab w:leader="none" w:pos="101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Applicability of ISP; Limitation of Liability</w:t>
      </w:r>
      <w:r>
        <w:rPr>
          <w:rFonts w:ascii="Times New Roman" w:cs="Times New Roman" w:eastAsia="Times New Roman" w:hAnsi="Times New Roman"/>
          <w:sz w:val="20"/>
          <w:szCs w:val="20"/>
          <w:color w:val="auto"/>
        </w:rPr>
        <w:t>. Unless otherwise expressly agreed by the L/C Issuer and the Company when a Letter of Credit is issued, the rules of the ISP shall apply to each Letter of Credit. Notwithstanding the foregoing, the L/C Issuer shall not be responsible to the Company for, and the L/C Issuer’s rights and remedies against the Company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89" w:lineRule="exact"/>
        <w:rPr>
          <w:rFonts w:ascii="Times New Roman" w:cs="Times New Roman" w:eastAsia="Times New Roman" w:hAnsi="Times New Roman"/>
          <w:sz w:val="20"/>
          <w:szCs w:val="20"/>
          <w:color w:val="auto"/>
        </w:rPr>
      </w:pPr>
    </w:p>
    <w:p>
      <w:pPr>
        <w:jc w:val="both"/>
        <w:ind w:firstLine="757"/>
        <w:spacing w:after="0" w:line="256" w:lineRule="auto"/>
        <w:tabs>
          <w:tab w:leader="none" w:pos="1018" w:val="left"/>
        </w:tabs>
        <w:numPr>
          <w:ilvl w:val="1"/>
          <w:numId w:val="1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Letter of Credit Fees</w:t>
      </w:r>
      <w:r>
        <w:rPr>
          <w:rFonts w:ascii="Times New Roman" w:cs="Times New Roman" w:eastAsia="Times New Roman" w:hAnsi="Times New Roman"/>
          <w:sz w:val="19"/>
          <w:szCs w:val="19"/>
          <w:color w:val="auto"/>
        </w:rPr>
        <w:t xml:space="preserve">. The Company shall pay to the Administrative Agent for the account of each U.S. Revolving Credit Lender in accordance, subject to </w:t>
      </w:r>
      <w:r>
        <w:rPr>
          <w:rFonts w:ascii="Times New Roman" w:cs="Times New Roman" w:eastAsia="Times New Roman" w:hAnsi="Times New Roman"/>
          <w:sz w:val="19"/>
          <w:szCs w:val="19"/>
          <w:u w:val="single" w:color="auto"/>
          <w:color w:val="auto"/>
        </w:rPr>
        <w:t>Section 2.17</w:t>
      </w:r>
      <w:r>
        <w:rPr>
          <w:rFonts w:ascii="Times New Roman" w:cs="Times New Roman" w:eastAsia="Times New Roman" w:hAnsi="Times New Roman"/>
          <w:sz w:val="19"/>
          <w:szCs w:val="19"/>
          <w:color w:val="auto"/>
        </w:rPr>
        <w:t>, with its Applicable Percentage a Letter of Credit fee (the “</w:t>
      </w:r>
      <w:r>
        <w:rPr>
          <w:rFonts w:ascii="Times New Roman" w:cs="Times New Roman" w:eastAsia="Times New Roman" w:hAnsi="Times New Roman"/>
          <w:sz w:val="19"/>
          <w:szCs w:val="19"/>
          <w:u w:val="single" w:color="auto"/>
          <w:color w:val="auto"/>
        </w:rPr>
        <w:t>Letter of Credit Fee</w:t>
      </w:r>
      <w:r>
        <w:rPr>
          <w:rFonts w:ascii="Times New Roman" w:cs="Times New Roman" w:eastAsia="Times New Roman" w:hAnsi="Times New Roman"/>
          <w:sz w:val="19"/>
          <w:szCs w:val="19"/>
          <w:color w:val="auto"/>
        </w:rPr>
        <w:t xml:space="preserve">”)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Letter of Credit Fees shall be (i) due and payable on the last Business Day of each March, June, September and December, commencing with the first such date to occur after the issuance of such Letter of Credit, on the Letter of Credit Expiration Date and thereafter on demand and</w:t>
      </w:r>
    </w:p>
    <w:p>
      <w:pPr>
        <w:jc w:val="both"/>
        <w:ind w:firstLine="8"/>
        <w:spacing w:after="0" w:line="241" w:lineRule="auto"/>
        <w:tabs>
          <w:tab w:leader="none" w:pos="29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spacing w:after="0" w:line="188"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1"/>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Fronting Fee and Documentary and Processing Charges Payable to L/C Issuer</w:t>
      </w:r>
      <w:r>
        <w:rPr>
          <w:rFonts w:ascii="Times New Roman" w:cs="Times New Roman" w:eastAsia="Times New Roman" w:hAnsi="Times New Roman"/>
          <w:sz w:val="20"/>
          <w:szCs w:val="20"/>
          <w:color w:val="auto"/>
        </w:rPr>
        <w:t>. The Company shall pay directly to the L/C Issuer for its own account a fronting fee at the rate per annum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jc w:val="both"/>
        <w:spacing w:after="0" w:line="258" w:lineRule="auto"/>
        <w:rPr>
          <w:sz w:val="20"/>
          <w:szCs w:val="20"/>
          <w:color w:val="auto"/>
        </w:rPr>
      </w:pPr>
      <w:r>
        <w:rPr>
          <w:rFonts w:ascii="Times New Roman" w:cs="Times New Roman" w:eastAsia="Times New Roman" w:hAnsi="Times New Roman"/>
          <w:sz w:val="19"/>
          <w:szCs w:val="19"/>
          <w:color w:val="auto"/>
        </w:rPr>
        <w:t xml:space="preserve">specified in the Fee Letter, computed on the daily amount available to be drawn under such Letter of Credit on a quarterly basis in arrears. Such fronting fee shall be due and payable on the last Business Day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1.09</w:t>
      </w:r>
      <w:r>
        <w:rPr>
          <w:rFonts w:ascii="Times New Roman" w:cs="Times New Roman" w:eastAsia="Times New Roman" w:hAnsi="Times New Roman"/>
          <w:sz w:val="19"/>
          <w:szCs w:val="19"/>
          <w:color w:val="auto"/>
        </w:rPr>
        <w:t>. In addition, the Company shall pay directly to the L/C Issuer for its own account the reasonable and customary issuance, presentation, amendment and other processing fees, and other reasonable and standard costs and charges, of the L/C Issuer relating to letters of credit as from time to time in effect. Such customary fees and standard costs and charges are due and payable on demand and are nonrefundable.</w:t>
      </w:r>
    </w:p>
    <w:p>
      <w:pPr>
        <w:spacing w:after="0" w:line="173" w:lineRule="exact"/>
        <w:rPr>
          <w:sz w:val="20"/>
          <w:szCs w:val="20"/>
          <w:color w:val="auto"/>
        </w:rPr>
      </w:pPr>
    </w:p>
    <w:p>
      <w:pPr>
        <w:ind w:firstLine="757"/>
        <w:spacing w:after="0" w:line="269" w:lineRule="auto"/>
        <w:tabs>
          <w:tab w:leader="none" w:pos="1018"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with Issuer Documents</w:t>
      </w:r>
      <w:r>
        <w:rPr>
          <w:rFonts w:ascii="Times New Roman" w:cs="Times New Roman" w:eastAsia="Times New Roman" w:hAnsi="Times New Roman"/>
          <w:sz w:val="20"/>
          <w:szCs w:val="20"/>
          <w:color w:val="auto"/>
        </w:rPr>
        <w:t>. In the event of any conflict between the terms hereof and the terms of any Issuer Document, the terms hereof shall control.</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2.04 Swing Line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53" w:lineRule="auto"/>
        <w:tabs>
          <w:tab w:leader="none" w:pos="1018" w:val="left"/>
        </w:tabs>
        <w:numPr>
          <w:ilvl w:val="0"/>
          <w:numId w:val="1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The Swing Line</w:t>
      </w:r>
      <w:r>
        <w:rPr>
          <w:rFonts w:ascii="Times New Roman" w:cs="Times New Roman" w:eastAsia="Times New Roman" w:hAnsi="Times New Roman"/>
          <w:sz w:val="19"/>
          <w:szCs w:val="19"/>
          <w:color w:val="auto"/>
        </w:rPr>
        <w:t xml:space="preserve">. Subject to the terms and conditions set forth herein, (i) the U.S. Swing Line Lender, in reliance upon the agreements of the other U.S. Revolving Credit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may in its sole discretion make loans in Dollars (each such loan, a “</w:t>
      </w:r>
      <w:r>
        <w:rPr>
          <w:rFonts w:ascii="Times New Roman" w:cs="Times New Roman" w:eastAsia="Times New Roman" w:hAnsi="Times New Roman"/>
          <w:sz w:val="19"/>
          <w:szCs w:val="19"/>
          <w:u w:val="single" w:color="auto"/>
          <w:color w:val="auto"/>
        </w:rPr>
        <w:t>U.S. Swing Line Loan</w:t>
      </w:r>
      <w:r>
        <w:rPr>
          <w:rFonts w:ascii="Times New Roman" w:cs="Times New Roman" w:eastAsia="Times New Roman" w:hAnsi="Times New Roman"/>
          <w:sz w:val="19"/>
          <w:szCs w:val="19"/>
          <w:color w:val="auto"/>
        </w:rPr>
        <w:t xml:space="preserve">”) to the Company and each Domestic Subsidiary of the Company from time to time party hereto as a Designated Borrower from time to time on any Business Day during the Availability Period, in an aggregate amount not to exceed at any time outstanding the amount of the U.S. Swing Line Sublimit, notwithstanding the fact that such U.S. Swing Line Loans, when aggregated with the Applicable Percentage of the Outstanding Amount of U.S. Revolving Credit Loans and L/C Obligations of the U.S. Revolving Credit Lender acting as Swing Line Lender, may exceed the amount of such Lender’s U.S. Revolving Credit Commitment, and (ii) the Global Swing Line Lender, in reliance upon the agreements of the Global Revolving Credit Lenders set forth in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may in its sole discretion make loans in one or more Alternative Currencies (each such loan, a “</w:t>
      </w:r>
      <w:r>
        <w:rPr>
          <w:rFonts w:ascii="Times New Roman" w:cs="Times New Roman" w:eastAsia="Times New Roman" w:hAnsi="Times New Roman"/>
          <w:sz w:val="19"/>
          <w:szCs w:val="19"/>
          <w:u w:val="single" w:color="auto"/>
          <w:color w:val="auto"/>
        </w:rPr>
        <w:t>Global Swing Line Loan</w:t>
      </w:r>
      <w:r>
        <w:rPr>
          <w:rFonts w:ascii="Times New Roman" w:cs="Times New Roman" w:eastAsia="Times New Roman" w:hAnsi="Times New Roman"/>
          <w:sz w:val="19"/>
          <w:szCs w:val="19"/>
          <w:color w:val="auto"/>
        </w:rPr>
        <w:t xml:space="preserve">”) to the Designated Foreign Borrowers (other than any Designated Foreign Borrower that is a Jersey Borrower) from time to time on any Business Day during the Availability Period, in an aggregate amount not to exceed at any time outstanding the amount of the Global Swing Line Sublimit;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after giving effect to any Swing Line Loan, (1) the Total Revolving Outstandings shall not exceed the Revolving Facility, (2) the Total U.S. Revolving Credit Outstandings shall not exceed the U.S. Revolving Credit Facility at such time, (3) the Total Global Revolving Credit Outstandings shall not exceed the Global Revolving Credit Facility at such time, (4) the aggregate Outstanding Amount of the U.S. Revolving Credit Loans of any U.S. Revolving Credit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U.S. Revolving Credit Lender’s Applicable Percentage of the Outstanding Amount of all L/C Obligations,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U.S. Revolving Credit Lender’s Applicable Percentage of the Outstanding Amount of all U.S. Swing Line Loans shall not exceed such U.S. Revolving Credit Lender’s U.S. Revolving Credit Commitment, and (5) the aggregate Outstanding Amount of the Global Revolving Credit Loans of any Global Revolving Credit Lender,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such Global Revolving Credit Lender’s Applicable Percentage of the Outstanding Amount of all Global Swing Line Loans shall not exceed such Global Revolving Credit Lender’s Global Revolving Credit Commitment; (B) the Company shall not use the proceeds of any Swing Line Loan to refinance any outstanding Swing Line Loan; and (C) the applicable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Borrowers may 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xml:space="preserve">, prepay under </w:t>
      </w:r>
      <w:r>
        <w:rPr>
          <w:rFonts w:ascii="Times New Roman" w:cs="Times New Roman" w:eastAsia="Times New Roman" w:hAnsi="Times New Roman"/>
          <w:sz w:val="19"/>
          <w:szCs w:val="19"/>
          <w:u w:val="single" w:color="auto"/>
          <w:color w:val="auto"/>
        </w:rPr>
        <w:t>Section 2.05</w:t>
      </w:r>
      <w:r>
        <w:rPr>
          <w:rFonts w:ascii="Times New Roman" w:cs="Times New Roman" w:eastAsia="Times New Roman" w:hAnsi="Times New Roman"/>
          <w:sz w:val="19"/>
          <w:szCs w:val="19"/>
          <w:color w:val="auto"/>
        </w:rPr>
        <w:t xml:space="preserve">, and reborrow under this </w:t>
      </w:r>
      <w:r>
        <w:rPr>
          <w:rFonts w:ascii="Times New Roman" w:cs="Times New Roman" w:eastAsia="Times New Roman" w:hAnsi="Times New Roman"/>
          <w:sz w:val="19"/>
          <w:szCs w:val="19"/>
          <w:u w:val="single" w:color="auto"/>
          <w:color w:val="auto"/>
        </w:rPr>
        <w:t>Section 2.04</w:t>
      </w:r>
      <w:r>
        <w:rPr>
          <w:rFonts w:ascii="Times New Roman" w:cs="Times New Roman" w:eastAsia="Times New Roman" w:hAnsi="Times New Roman"/>
          <w:sz w:val="19"/>
          <w:szCs w:val="19"/>
          <w:color w:val="auto"/>
        </w:rPr>
        <w:t>. Each U.S. Swing Line Loan shall be a Base Rate Loan, and each Global Swing Line Loan shall be a Loan that bears interest based on (x) in the case of Global Swing Line Loans denominated in Canadian Dollars, the Canadian Prime Rate and (y) in the case of Global Swing Line Loans denominated in any other Alternative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4" w:name="page235"/>
    <w:bookmarkEnd w:id="234"/>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Currency, the applicable Overnight Rate for Credit Extensions denominated in such Alternative Currency. Immediately upon the making of a Swing Line Loan, each U.S. Revolving Credit Lender or Global Revolving Credit Lender, as applicable, shall be deemed to, and hereby irrevocably and unconditionally agrees to, purchase from the applicable Swing Line Lender a risk participation in such Swing Line Loan, in an amount equal to the product of such Revolving Lender’s Applicable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amount of such Swing Line Loan.</w:t>
      </w:r>
    </w:p>
    <w:p>
      <w:pPr>
        <w:spacing w:after="0" w:line="180" w:lineRule="exact"/>
        <w:rPr>
          <w:sz w:val="20"/>
          <w:szCs w:val="20"/>
          <w:color w:val="auto"/>
        </w:rPr>
      </w:pPr>
    </w:p>
    <w:p>
      <w:pPr>
        <w:jc w:val="both"/>
        <w:ind w:firstLine="757"/>
        <w:spacing w:after="0" w:line="254" w:lineRule="auto"/>
        <w:tabs>
          <w:tab w:leader="none" w:pos="1018" w:val="left"/>
        </w:tabs>
        <w:numPr>
          <w:ilvl w:val="0"/>
          <w:numId w:val="1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Borrowing Procedures</w:t>
      </w:r>
      <w:r>
        <w:rPr>
          <w:rFonts w:ascii="Times New Roman" w:cs="Times New Roman" w:eastAsia="Times New Roman" w:hAnsi="Times New Roman"/>
          <w:sz w:val="19"/>
          <w:szCs w:val="19"/>
          <w:color w:val="auto"/>
        </w:rPr>
        <w:t xml:space="preserve">. Each Swing Line Borrowing shall be made upon the Company’s (in the case of U.S. Swing Line Loans) or a Designated Foreign Borrower’s (in the case of Global Swing Line Loans) irrevocable notice to the applicable Swing Line Lender and the Administrative Agent, which may be given by (i) telephone or (ii) by a Swing Line Loan Notice;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telephonic notice must be confirmed promptly by delivery to the applicable Swing Line Lender and the Administrative Agent of a Swing Line Loan Notice. Each such Swing Line Loan Notice must be received by the applicable Swing Line Lender and the Administrative Agent not later than (A) 1:00 p.m. Eastern time, in the case of U.S. Swing Line Loans, or (B) 11:00 a.m. London time, in the case of Global Swing Line Loans on the requested borrowing date, and shall specify (1) the amount to be borrowed, which shall be a minimum of $100,000 (or, as applicable, the Alternative Currency Equivalent thereof), and (2) the requested borrowing date, which shall be a Business Day. Promptly after receipt by the applicable Swing Line Lender of any Swing Line Loan Notice, such Swing Line Lender will confirm with the Administrative Agent (by telephone or in writing) that the Administrative Agent has also received such Swing Line Loan Notice and, if not, such Swing Line Lender will notify the Administrative Agent (by telephone or in writing) of the contents thereof. Unless the applicable Swing Line Lender has received notice (by telephone or in writing) from the Administrative Agent (including at the request of any U.S. Revolving Credit Lender or Global Swing Line Lender, as applicable) prior to 2:00 p.m. (Eastern time, in the case of U.S. Swing Line Loans, or London time, in the case of Global Swing Line Loans) on the date of the proposed Swing Line Borrowing (A) directing the applicable Swing Line Lender not to make such Swing Line Loan as a result of the limitations set forth in the first proviso to the first sentence of </w:t>
      </w:r>
      <w:r>
        <w:rPr>
          <w:rFonts w:ascii="Times New Roman" w:cs="Times New Roman" w:eastAsia="Times New Roman" w:hAnsi="Times New Roman"/>
          <w:sz w:val="19"/>
          <w:szCs w:val="19"/>
          <w:u w:val="single" w:color="auto"/>
          <w:color w:val="auto"/>
        </w:rPr>
        <w:t>Section 2.04(a)</w:t>
      </w:r>
      <w:r>
        <w:rPr>
          <w:rFonts w:ascii="Times New Roman" w:cs="Times New Roman" w:eastAsia="Times New Roman" w:hAnsi="Times New Roman"/>
          <w:sz w:val="19"/>
          <w:szCs w:val="19"/>
          <w:color w:val="auto"/>
        </w:rPr>
        <w:t xml:space="preserve">, or (B) that one or more of the applicable conditions specified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then satisfied, then, subject to the terms and conditions hereof, such Swing Line Lender will, not later than 3:00 p.m. (Eastern time, in the case of U.S. Swing Line Loans, or London time, in the case of Global Swing Line Loans) on the borrowing date specified in such Swing Line Loan Notice, make the amount of its Swing Line Loan available to the applicable Borrower at its office by crediting the account of such Borrower on the books of such Swing Line Lender in Same Day Funds.</w:t>
      </w:r>
    </w:p>
    <w:p>
      <w:pPr>
        <w:spacing w:after="0" w:line="183" w:lineRule="exact"/>
        <w:rPr>
          <w:rFonts w:ascii="Times New Roman" w:cs="Times New Roman" w:eastAsia="Times New Roman" w:hAnsi="Times New Roman"/>
          <w:sz w:val="19"/>
          <w:szCs w:val="19"/>
          <w:color w:val="auto"/>
        </w:rPr>
      </w:pPr>
    </w:p>
    <w:p>
      <w:pPr>
        <w:ind w:left="1020" w:hanging="263"/>
        <w:spacing w:after="0"/>
        <w:tabs>
          <w:tab w:leader="none" w:pos="102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Refinancing of Swing Line Loans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Swing Line Lender at any time in its sole and absolute discretion may request, on behalf of the Borrowers (which hereby irrevocably authorize the Swing Line Lenders to so request on their behalf), that each applicable Revolving Lender make a Committed Loan in an amount equal to such Revolving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without regard to the minimum and multiples specified therein for the principal amount of Loans, but subject to the unutilized portion of the U.S. Revolving Credit Facility or the Global Revolving Credit Facility, as applicable, and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The applicable Swing Line Lender shall furnish the applicable Borrower with a copy of the applicable Committed Loan Notice promptly after delivering such notice to the Administrative Agent. Each applicable Revolving Lender shall make an amount equal to its Applicable Percentage of the amount specified in such Committed Loan Notice available to the Administrative Agent in the applicable currency in Same Day Funds (and the Administrative Agent may apply Cash Collateral available with respect to the applicable Swing Line Loan) for the account of the applicable Swing Line Lender at the Administrative Agent’s Office for payments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5" w:name="page236"/>
    <w:bookmarkEnd w:id="235"/>
    <w:p>
      <w:pPr>
        <w:jc w:val="both"/>
        <w:ind w:left="3"/>
        <w:spacing w:after="0" w:line="266" w:lineRule="auto"/>
        <w:rPr>
          <w:sz w:val="20"/>
          <w:szCs w:val="20"/>
          <w:color w:val="auto"/>
        </w:rPr>
      </w:pPr>
      <w:r>
        <w:rPr>
          <w:rFonts w:ascii="Times New Roman" w:cs="Times New Roman" w:eastAsia="Times New Roman" w:hAnsi="Times New Roman"/>
          <w:sz w:val="19"/>
          <w:szCs w:val="19"/>
          <w:color w:val="auto"/>
        </w:rPr>
        <w:t xml:space="preserve">denominated in the applicable currency not later than 1:00 p.m. (Eastern time, in the case of U.S. Swing Line Loans, or London time, in the case of Global Swing Line Loans) on the day specified in such Committed Loan Notice, whereupon, subject to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2.04(c)(ii)</w:t>
      </w:r>
      <w:r>
        <w:rPr>
          <w:rFonts w:ascii="Times New Roman" w:cs="Times New Roman" w:eastAsia="Times New Roman" w:hAnsi="Times New Roman"/>
          <w:sz w:val="19"/>
          <w:szCs w:val="19"/>
          <w:color w:val="auto"/>
        </w:rPr>
        <w:t>, each Revolving Lender that so makes funds available shall be deemed to have made a Committed Loan to the applicable Borrower in such amount. The Administrative Agent shall remit the funds so received to the applicable Swing Line Lender.</w:t>
      </w:r>
    </w:p>
    <w:p>
      <w:pPr>
        <w:spacing w:after="0" w:line="165" w:lineRule="exact"/>
        <w:rPr>
          <w:sz w:val="20"/>
          <w:szCs w:val="20"/>
          <w:color w:val="auto"/>
        </w:rPr>
      </w:pPr>
    </w:p>
    <w:p>
      <w:pPr>
        <w:jc w:val="both"/>
        <w:ind w:left="3" w:firstLine="745"/>
        <w:spacing w:after="0" w:line="246" w:lineRule="auto"/>
        <w:tabs>
          <w:tab w:leader="none" w:pos="129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for any reason any Swing Line Loan cannot be refinanced by such a Revolving Borrowing in accordance with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the request for Committed Loans submitted by the applicable Swing Line Lender as set forth herein shall be deemed to be a request by such Swing Line Lender that each of the applicable Revolving Lenders fund its risk participation in the relevant Swing Line Loan and each applicable Revolving Lender’s payment to the Administrative Agent for the account of the applicable Swing Line Lender pursuant to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shall be deemed payment in respect of such participation.</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2" w:lineRule="auto"/>
        <w:tabs>
          <w:tab w:leader="none" w:pos="129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Revolving Lender fails to make available to the Administrative Agent for the account of the applicable Swing Line Lender any amount required to be paid by such Revolving Lender pursuant to the foregoing provisions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2.04(c)</w:t>
      </w:r>
      <w:r>
        <w:rPr>
          <w:rFonts w:ascii="Times New Roman" w:cs="Times New Roman" w:eastAsia="Times New Roman" w:hAnsi="Times New Roman"/>
          <w:sz w:val="20"/>
          <w:szCs w:val="20"/>
          <w:color w:val="auto"/>
        </w:rPr>
        <w:t xml:space="preserve"> by the time specified in </w:t>
      </w:r>
      <w:r>
        <w:rPr>
          <w:rFonts w:ascii="Times New Roman" w:cs="Times New Roman" w:eastAsia="Times New Roman" w:hAnsi="Times New Roman"/>
          <w:sz w:val="20"/>
          <w:szCs w:val="20"/>
          <w:u w:val="single" w:color="auto"/>
          <w:color w:val="auto"/>
        </w:rPr>
        <w:t>Section 2.04(c)(i)</w:t>
      </w:r>
      <w:r>
        <w:rPr>
          <w:rFonts w:ascii="Times New Roman" w:cs="Times New Roman" w:eastAsia="Times New Roman" w:hAnsi="Times New Roman"/>
          <w:sz w:val="20"/>
          <w:szCs w:val="20"/>
          <w:color w:val="auto"/>
        </w:rPr>
        <w:t xml:space="preserve">, such Swing Line Lender shall be entitled to recover from such Revolving Lender (acting through the Administrative Agent), on demand, such amount with interest thereon for the period from the date such payment is required to the date on which such payment is immediately available to such Swing Line Lender at a rate per annum equal to the Overnight Rate from time to time in effect, plus any administrative, processing or similar fees customarily charged by such Swing Line Lender in connection with the foregoing. If such Revolving Lender pays such amount (with interest and fees as aforesaid), the amount so paid shall constitute such Revolving Lender’s Committed Loan included in the relevant Committed Borrowing or funded participation in the relevant Swing Line Loan, as the case may be. A certificate of the applicable Swing Line Lender submitted to any Revolving Lender (through the Administrative Agent) with respect to any amounts owing under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left="3" w:firstLine="745"/>
        <w:spacing w:after="0" w:line="243" w:lineRule="auto"/>
        <w:tabs>
          <w:tab w:leader="none" w:pos="1291"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Lender’s obligation to make Revolving Loans or to purchase and fund risk participations in Swing Line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shall be absolute and unconditional and shall not be affected by any circumstance, including (A) any setoff, counterclaim, recoupment, defense or other right which such Revolving Lender may have against the applicable Swing Line Lender, the Borrowers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Revolving Lender’s obligation to make Revolving Loans pursuant to this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xml:space="preserve"> is subject to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No such funding of risk participations shall relieve or otherwise impair the obligation of the Borrowers to repay Swing Line Loans, together with interest as provided herein.</w:t>
      </w:r>
    </w:p>
    <w:p>
      <w:pPr>
        <w:spacing w:after="0" w:line="189"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after any Revolving Lender has purchased and funded a risk participation in a Swing Line Loan, if the applicable Swing Line Lender receives any payment on account of such Swing Line Loan, such Swing Line Lender will distribute to such Revolving Lender its Applicable Percentage thereof in the same funds as those received by such Swing Line Lender.</w:t>
      </w:r>
    </w:p>
    <w:p>
      <w:pPr>
        <w:spacing w:after="0" w:line="174" w:lineRule="exact"/>
        <w:rPr>
          <w:rFonts w:ascii="Times New Roman" w:cs="Times New Roman" w:eastAsia="Times New Roman" w:hAnsi="Times New Roman"/>
          <w:sz w:val="20"/>
          <w:szCs w:val="20"/>
          <w:color w:val="auto"/>
        </w:rPr>
      </w:pPr>
    </w:p>
    <w:p>
      <w:pPr>
        <w:ind w:left="3" w:firstLine="745"/>
        <w:spacing w:after="0" w:line="269" w:lineRule="auto"/>
        <w:tabs>
          <w:tab w:leader="none" w:pos="1291" w:val="left"/>
        </w:tabs>
        <w:numPr>
          <w:ilvl w:val="1"/>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payment received by the applicable Swing Line Lender in respect of principal or interest on any Swing Line Loan is required to be returned by such Swing Line Lender</w:t>
      </w:r>
    </w:p>
    <w:p>
      <w:pPr>
        <w:spacing w:after="0" w:line="200" w:lineRule="exact"/>
        <w:rPr>
          <w:sz w:val="20"/>
          <w:szCs w:val="20"/>
          <w:color w:val="auto"/>
        </w:rPr>
      </w:pPr>
    </w:p>
    <w:p>
      <w:pPr>
        <w:spacing w:after="0" w:line="211"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36" w:name="page237"/>
    <w:bookmarkEnd w:id="236"/>
    <w:p>
      <w:pPr>
        <w:jc w:val="both"/>
        <w:ind w:left="760"/>
        <w:spacing w:after="0" w:line="245" w:lineRule="auto"/>
        <w:rPr>
          <w:sz w:val="20"/>
          <w:szCs w:val="20"/>
          <w:color w:val="auto"/>
        </w:rPr>
      </w:pPr>
      <w:r>
        <w:rPr>
          <w:rFonts w:ascii="Times New Roman" w:cs="Times New Roman" w:eastAsia="Times New Roman" w:hAnsi="Times New Roman"/>
          <w:sz w:val="20"/>
          <w:szCs w:val="20"/>
          <w:color w:val="auto"/>
        </w:rPr>
        <w:t xml:space="preserve">under any of the circumstances described in </w:t>
      </w:r>
      <w:r>
        <w:rPr>
          <w:rFonts w:ascii="Times New Roman" w:cs="Times New Roman" w:eastAsia="Times New Roman" w:hAnsi="Times New Roman"/>
          <w:sz w:val="20"/>
          <w:szCs w:val="20"/>
          <w:u w:val="single" w:color="auto"/>
          <w:color w:val="auto"/>
        </w:rPr>
        <w:t>Section 10.05</w:t>
      </w:r>
      <w:r>
        <w:rPr>
          <w:rFonts w:ascii="Times New Roman" w:cs="Times New Roman" w:eastAsia="Times New Roman" w:hAnsi="Times New Roman"/>
          <w:sz w:val="20"/>
          <w:szCs w:val="20"/>
          <w:color w:val="auto"/>
        </w:rPr>
        <w:t xml:space="preserve"> (including pursuant to any settlement entered into by such Swing Line Lender in its discretion), each applicable Revolving Lender shall pay to the applicable Swing Line Lender its Applicable Percentage thereof on demand of the Administrative Agent, plus interest thereon from the date of such demand to the date such amount is returned, at a rate per annum equal to the applicable Overnight Rate. The Administrative Agent will make such demand upon the request of the applicable Swing Line Lender. The obligations of the Revolving Lenders under this clause shall survive the payment in full of the Obligations and the termination of this Agreement.</w:t>
      </w:r>
    </w:p>
    <w:p>
      <w:pPr>
        <w:spacing w:after="0" w:line="184" w:lineRule="exact"/>
        <w:rPr>
          <w:sz w:val="20"/>
          <w:szCs w:val="20"/>
          <w:color w:val="auto"/>
        </w:rPr>
      </w:pPr>
    </w:p>
    <w:p>
      <w:pPr>
        <w:jc w:val="both"/>
        <w:ind w:firstLine="757"/>
        <w:spacing w:after="0" w:line="249"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for Account of Swing Line Lender</w:t>
      </w:r>
      <w:r>
        <w:rPr>
          <w:rFonts w:ascii="Times New Roman" w:cs="Times New Roman" w:eastAsia="Times New Roman" w:hAnsi="Times New Roman"/>
          <w:sz w:val="20"/>
          <w:szCs w:val="20"/>
          <w:color w:val="auto"/>
        </w:rPr>
        <w:t xml:space="preserve">. The applicable Swing Line Lender shall be responsible for invoicing the applicable Borrower for interest on the Swing Line Loans. Until each Revolving Lender funds its Base Rate Committed Loan or risk participation pursuant to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to refinance such Revolving Lender’s Applicable Percentage of any Swing Line Loan, interest in respect of such Applicable Percentage shall be solely for the account of the applicable Swing Line Lender.</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Directly to Swing Line Lender</w:t>
      </w:r>
      <w:r>
        <w:rPr>
          <w:rFonts w:ascii="Times New Roman" w:cs="Times New Roman" w:eastAsia="Times New Roman" w:hAnsi="Times New Roman"/>
          <w:sz w:val="20"/>
          <w:szCs w:val="20"/>
          <w:color w:val="auto"/>
        </w:rPr>
        <w:t>. The applicable Borrower shall make all payments of principal and interest in respect of Swing Line Loans directly to the applicable Swing Line Lender.</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2.05 Prepayments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020" w:hanging="263"/>
        <w:spacing w:after="0"/>
        <w:tabs>
          <w:tab w:leader="none" w:pos="102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Optional</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tabs>
          <w:tab w:leader="none" w:pos="2048" w:val="left"/>
        </w:tabs>
        <w:numPr>
          <w:ilvl w:val="1"/>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Borrower may, upon notice from the Company to the Administrative Agent pursuant to delivery to the Administrative Agent of a Notice of Loan Prepayment, at any time or from time to time voluntarily prepay Committed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the Administrative Agent not later than 11:00 a.m. (A) three Business Days prior to any date of prepayment of Term SOFR Loans denominated in Dollars, (B) four Business Days (or five, in the case of prepayment of Loans denominated in Special Notice Currencies) prior to any date of prepayment of any Alternative Currency Loans, and (C) on the date of prepayment of Base Rate Committed Loans; (ii) any prepayment of Term SOFR Loans denominated in Dollars shall be in a principal amount of $1,000,000 or a whole multiple of $500,000 in excess thereof; (iii) any prepayment of Alternative Currency Loans shall be in a minimum principal amount of the Alternative Currency Equivalent of $1,000,000 or a whole multiple of the Alternative Currency Equivalent of $500,000 in excess thereof; and (iv) any prepayment of Base Rate Committed Loans shall be in a principal amount of $500,000 or a whole multiple of $100,000 in excess thereof or, in each case, if less, the entire principal amount thereof then outstanding. Each such notice shall specify the date and amount of such prepayment and the Type(s) of Committed Loans to be prepaid and, if Term SOFR Loans or Alternative Currency Term Rate Loans are to be prepaid, the Interest Period(s) of such Loans. The Administrative Agent will promptly notify each Lender of its receipt of each such notice, and of the amount of such Lender’s Applicable Percentage of such prepayment. If such notice is given by the Company, the applicable Borrower shall make such prepayment and the payment amount specified in such notice shall be due and payable on the date specified therein;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notice may be conditional on the effectiveness of a replacement credit agreement (or other similar document) or the receipt of proceeds of the issuance of Indebtedness or some other identifiable event or condition and may be revoked by the Company (by written notice to the Administrative Agent at least one (1) Business Day prior to the specified effective date) if such condition is not satisfied. Any prepayment of a Term SOFR Loan and any Alternative Currency Loan shall be accompanied by all accrued interest on the amount prepaid,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Each prepayment of the outstanding Term Loans pursuant to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7" w:name="page238"/>
    <w:bookmarkEnd w:id="237"/>
    <w:p>
      <w:pPr>
        <w:ind w:left="3"/>
        <w:spacing w:after="0" w:line="269" w:lineRule="auto"/>
        <w:rPr>
          <w:sz w:val="20"/>
          <w:szCs w:val="20"/>
          <w:color w:val="auto"/>
        </w:rPr>
      </w:pPr>
      <w:r>
        <w:rPr>
          <w:rFonts w:ascii="Times New Roman" w:cs="Times New Roman" w:eastAsia="Times New Roman" w:hAnsi="Times New Roman"/>
          <w:sz w:val="20"/>
          <w:szCs w:val="20"/>
          <w:color w:val="auto"/>
        </w:rPr>
        <w:t>this clause shall be applied to the principal repayment installments thereof in inverse order of maturity. Each such prepayment shall be applied to the Committed Loans of the Lenders in accordance with their respective Applicable Percentages.</w:t>
      </w:r>
    </w:p>
    <w:p>
      <w:pPr>
        <w:spacing w:after="0" w:line="159" w:lineRule="exact"/>
        <w:rPr>
          <w:sz w:val="20"/>
          <w:szCs w:val="20"/>
          <w:color w:val="auto"/>
        </w:rPr>
      </w:pPr>
    </w:p>
    <w:p>
      <w:pPr>
        <w:jc w:val="both"/>
        <w:ind w:left="3" w:firstLine="745"/>
        <w:spacing w:after="0" w:line="243" w:lineRule="auto"/>
        <w:tabs>
          <w:tab w:leader="none" w:pos="1291"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upon notice to the applicable Swing Line Lender pursuant to delivery to such Swing Line Lender of a Notice of Loan Prepayment (with a copy to the Administrative Agent), at any time or from time to time, voluntarily prepay Swing Line Loans in whole or in part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notice must be received by such Swing Line Lender and the Administrative Agent not later than 1:00 p.m. (Eastern time, in the case of U.S. Swing Line Loans, or London time, in the case of Global Swing Line Loans) on the date of the prepayment, and (ii) any such prepayment shall be in a minimum principal amount of $100,000 (or, as applicable, the Alternative Currency Equivalent thereof). Each such notice shall specify the date and amount of such prepayment. If such notice is given by the Company, the Company shall make such prepayment and the payment amount specified in such notice shall be due and payable on the date specified therein.</w:t>
      </w:r>
    </w:p>
    <w:p>
      <w:pPr>
        <w:spacing w:after="0" w:line="189" w:lineRule="exact"/>
        <w:rPr>
          <w:rFonts w:ascii="Times New Roman" w:cs="Times New Roman" w:eastAsia="Times New Roman" w:hAnsi="Times New Roman"/>
          <w:sz w:val="20"/>
          <w:szCs w:val="20"/>
          <w:color w:val="auto"/>
        </w:rPr>
      </w:pPr>
    </w:p>
    <w:p>
      <w:pPr>
        <w:ind w:left="263" w:hanging="263"/>
        <w:spacing w:after="0"/>
        <w:tabs>
          <w:tab w:leader="none" w:pos="26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Mandatory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 w:firstLine="745"/>
        <w:spacing w:after="0" w:line="244" w:lineRule="auto"/>
        <w:tabs>
          <w:tab w:leader="none" w:pos="1291"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any reason the Total Revolving Outstandings at any time exceed the Revolving Facility then in effect, the Borrowers shall promptly prepay Loans and/or Cash Collateralize the L/C Obligations in an aggregate amount equal to such excess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FF0000"/>
          <w:strike w:val="1"/>
        </w:rPr>
        <w:t xml:space="preserve">provided </w:t>
      </w:r>
      <w:r>
        <w:rPr>
          <w:rFonts w:ascii="Times New Roman" w:cs="Times New Roman" w:eastAsia="Times New Roman" w:hAnsi="Times New Roman"/>
          <w:sz w:val="20"/>
          <w:szCs w:val="20"/>
          <w:color w:val="FF0000"/>
          <w:strike w:val="1"/>
        </w:rPr>
        <w:t>that the Company shall not be required</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u w:val="single" w:color="auto"/>
          <w:color w:val="0000FF"/>
          <w:strike w:val="1"/>
        </w:rPr>
        <w:t>as follows: first, amounts shall be applied ratably to the L/C Borrowings and the</w:t>
      </w:r>
      <w:r>
        <w:rPr>
          <w:rFonts w:ascii="Times New Roman" w:cs="Times New Roman" w:eastAsia="Times New Roman" w:hAnsi="Times New Roman"/>
          <w:sz w:val="20"/>
          <w:szCs w:val="20"/>
          <w:u w:val="single" w:color="auto"/>
          <w:color w:val="FF0000"/>
          <w:strike w:val="1"/>
        </w:rPr>
        <w:t xml:space="preserve"> </w:t>
      </w:r>
      <w:r>
        <w:rPr>
          <w:rFonts w:ascii="Times New Roman" w:cs="Times New Roman" w:eastAsia="Times New Roman" w:hAnsi="Times New Roman"/>
          <w:sz w:val="20"/>
          <w:szCs w:val="20"/>
          <w:u w:val="single" w:color="auto"/>
          <w:color w:val="0000FF"/>
          <w:strike w:val="1"/>
        </w:rPr>
        <w:t>Swingline Loans, second, amounts shall be applied to the outstanding Revolving Loans, and, third, amounts shall be used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to Cash</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 xml:space="preserve">Collateralize the </w:t>
      </w:r>
      <w:r>
        <w:rPr>
          <w:rFonts w:ascii="Times New Roman" w:cs="Times New Roman" w:eastAsia="Times New Roman" w:hAnsi="Times New Roman"/>
          <w:sz w:val="20"/>
          <w:szCs w:val="20"/>
          <w:u w:val="single" w:color="auto"/>
          <w:color w:val="0000FF"/>
          <w:strike w:val="1"/>
        </w:rPr>
        <w:t>remaining</w:t>
      </w:r>
      <w:r>
        <w:rPr>
          <w:rFonts w:ascii="Times New Roman" w:cs="Times New Roman" w:eastAsia="Times New Roman" w:hAnsi="Times New Roman"/>
          <w:sz w:val="20"/>
          <w:szCs w:val="20"/>
          <w:color w:val="000000"/>
          <w:strike w:val="1"/>
        </w:rPr>
        <w:t xml:space="preserve"> L/C Obligations </w:t>
      </w:r>
      <w:r>
        <w:rPr>
          <w:rFonts w:ascii="Times New Roman" w:cs="Times New Roman" w:eastAsia="Times New Roman" w:hAnsi="Times New Roman"/>
          <w:sz w:val="20"/>
          <w:szCs w:val="20"/>
          <w:color w:val="FF0000"/>
          <w:strike w:val="1"/>
        </w:rPr>
        <w:t>pursuant hereto unless after the prepayment in full of the Loans the Total Revolving</w:t>
      </w:r>
      <w:r>
        <w:rPr>
          <w:rFonts w:ascii="Times New Roman" w:cs="Times New Roman" w:eastAsia="Times New Roman" w:hAnsi="Times New Roman"/>
          <w:sz w:val="20"/>
          <w:szCs w:val="20"/>
          <w:color w:val="000000"/>
          <w:strike w:val="1"/>
        </w:rPr>
        <w:t xml:space="preserve"> </w:t>
      </w:r>
      <w:r>
        <w:rPr>
          <w:rFonts w:ascii="Times New Roman" w:cs="Times New Roman" w:eastAsia="Times New Roman" w:hAnsi="Times New Roman"/>
          <w:sz w:val="20"/>
          <w:szCs w:val="20"/>
          <w:color w:val="FF0000"/>
          <w:strike w:val="1"/>
        </w:rPr>
        <w:t>Outstandings exceed the Revolving Facility then in effect</w:t>
      </w:r>
      <w:r>
        <w:rPr>
          <w:rFonts w:ascii="Times New Roman" w:cs="Times New Roman" w:eastAsia="Times New Roman" w:hAnsi="Times New Roman"/>
          <w:sz w:val="20"/>
          <w:szCs w:val="20"/>
          <w:color w:val="000000"/>
          <w:strike w:val="1"/>
        </w:rPr>
        <w:t>. Such Cash Collateral shall be subject to reduction in accordance with</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00"/>
          <w:strike w:val="1"/>
        </w:rPr>
        <w:t>Section 2.16</w:t>
      </w:r>
      <w:r>
        <w:rPr>
          <w:rFonts w:ascii="Times New Roman" w:cs="Times New Roman" w:eastAsia="Times New Roman" w:hAnsi="Times New Roman"/>
          <w:sz w:val="20"/>
          <w:szCs w:val="20"/>
          <w:color w:val="000000"/>
          <w:strike w:val="1"/>
        </w:rPr>
        <w:t>.</w:t>
      </w:r>
    </w:p>
    <w:p>
      <w:pPr>
        <w:spacing w:after="0" w:line="186" w:lineRule="exact"/>
        <w:rPr>
          <w:sz w:val="20"/>
          <w:szCs w:val="20"/>
          <w:color w:val="auto"/>
        </w:rPr>
      </w:pPr>
    </w:p>
    <w:p>
      <w:pPr>
        <w:jc w:val="both"/>
        <w:ind w:left="3" w:firstLine="745"/>
        <w:spacing w:after="0" w:line="246" w:lineRule="auto"/>
        <w:tabs>
          <w:tab w:leader="none" w:pos="12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notifies the Company at any time that the Outstanding Amount of all Loans denominated in Alternative Currencies at such time exceeds an amount equal to 105% of the Global Revolving Credit Facility then in effect, then, within two Business Days after receipt of such notice, the Borrowers shall prepay Loans in an aggregate amount sufficient to reduce such Outstanding Amount as of such date of payment to an amount not to exceed 100% of the Global Revolving Credit Facility then in effect.</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5" w:lineRule="auto"/>
        <w:tabs>
          <w:tab w:leader="none" w:pos="12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within five (5) Business Days following any Disposition of property by any Loan Party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7.05(f)</w:t>
      </w:r>
      <w:r>
        <w:rPr>
          <w:rFonts w:ascii="Times New Roman" w:cs="Times New Roman" w:eastAsia="Times New Roman" w:hAnsi="Times New Roman"/>
          <w:sz w:val="20"/>
          <w:szCs w:val="20"/>
          <w:color w:val="auto"/>
        </w:rPr>
        <w:t xml:space="preserve">, Consolidated Leverage Ratio, after giving pro forma effect to such Disposition, is greater than </w:t>
      </w:r>
      <w:r>
        <w:rPr>
          <w:rFonts w:ascii="Times New Roman" w:cs="Times New Roman" w:eastAsia="Times New Roman" w:hAnsi="Times New Roman"/>
          <w:sz w:val="20"/>
          <w:szCs w:val="20"/>
          <w:color w:val="FF0000"/>
          <w:strike w:val="1"/>
        </w:rPr>
        <w:t>4.00</w:t>
      </w:r>
      <w:r>
        <w:rPr>
          <w:rFonts w:ascii="Times New Roman" w:cs="Times New Roman" w:eastAsia="Times New Roman" w:hAnsi="Times New Roman"/>
          <w:sz w:val="20"/>
          <w:szCs w:val="20"/>
          <w:u w:val="single" w:color="auto"/>
          <w:color w:val="0000FF"/>
        </w:rPr>
        <w:t>3.00</w:t>
      </w:r>
      <w:r>
        <w:rPr>
          <w:rFonts w:ascii="Times New Roman" w:cs="Times New Roman" w:eastAsia="Times New Roman" w:hAnsi="Times New Roman"/>
          <w:sz w:val="20"/>
          <w:szCs w:val="20"/>
          <w:color w:val="auto"/>
        </w:rPr>
        <w:t xml:space="preserve">:1.00 </w:t>
      </w:r>
      <w:r>
        <w:rPr>
          <w:rFonts w:ascii="Times New Roman" w:cs="Times New Roman" w:eastAsia="Times New Roman" w:hAnsi="Times New Roman"/>
          <w:sz w:val="20"/>
          <w:szCs w:val="20"/>
          <w:color w:val="FF0000"/>
        </w:rPr>
        <w:t>and, so long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no Specified Event of Default exists, to the extent the Net Cash Proceeds in respect of such Disposition (or series of related Dispositions) are in excess of $250,000</w:t>
      </w:r>
      <w:r>
        <w:rPr>
          <w:rFonts w:ascii="Times New Roman" w:cs="Times New Roman" w:eastAsia="Times New Roman" w:hAnsi="Times New Roman"/>
          <w:sz w:val="20"/>
          <w:szCs w:val="20"/>
          <w:color w:val="000000"/>
          <w:strike w:val="1"/>
        </w:rPr>
        <w:t>, the Borrowers shall prepay an aggregate principal amount of Loans equal to</w:t>
      </w:r>
      <w:r>
        <w:rPr>
          <w:rFonts w:ascii="Times New Roman" w:cs="Times New Roman" w:eastAsia="Times New Roman" w:hAnsi="Times New Roman"/>
          <w:sz w:val="20"/>
          <w:szCs w:val="20"/>
          <w:color w:val="FF0000"/>
          <w:strike w:val="1"/>
        </w:rPr>
        <w:t xml:space="preserve"> 75</w:t>
      </w:r>
      <w:r>
        <w:rPr>
          <w:rFonts w:ascii="Times New Roman" w:cs="Times New Roman" w:eastAsia="Times New Roman" w:hAnsi="Times New Roman"/>
          <w:sz w:val="20"/>
          <w:szCs w:val="20"/>
          <w:u w:val="single" w:color="auto"/>
          <w:color w:val="0000FF"/>
          <w:strike w:val="1"/>
        </w:rPr>
        <w:t>100</w:t>
      </w:r>
      <w:r>
        <w:rPr>
          <w:rFonts w:ascii="Times New Roman" w:cs="Times New Roman" w:eastAsia="Times New Roman" w:hAnsi="Times New Roman"/>
          <w:sz w:val="20"/>
          <w:szCs w:val="20"/>
          <w:color w:val="000000"/>
          <w:strike w:val="1"/>
        </w:rPr>
        <w:t>% of</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such Net Cash Proceeds </w:t>
      </w:r>
      <w:r>
        <w:rPr>
          <w:rFonts w:ascii="Times New Roman" w:cs="Times New Roman" w:eastAsia="Times New Roman" w:hAnsi="Times New Roman"/>
          <w:sz w:val="20"/>
          <w:szCs w:val="20"/>
          <w:color w:val="FF0000"/>
          <w:strike w:val="1"/>
        </w:rPr>
        <w:t>immediately upon</w:t>
      </w:r>
      <w:r>
        <w:rPr>
          <w:rFonts w:ascii="Times New Roman" w:cs="Times New Roman" w:eastAsia="Times New Roman" w:hAnsi="Times New Roman"/>
          <w:sz w:val="20"/>
          <w:szCs w:val="20"/>
          <w:u w:val="single" w:color="auto"/>
          <w:color w:val="0000FF"/>
          <w:strike w:val="1"/>
        </w:rPr>
        <w:t>(such amount, the “Asset Sale Prepayment Amount”) within such time period after</w:t>
      </w:r>
      <w:r>
        <w:rPr>
          <w:rFonts w:ascii="Times New Roman" w:cs="Times New Roman" w:eastAsia="Times New Roman" w:hAnsi="Times New Roman"/>
          <w:sz w:val="20"/>
          <w:szCs w:val="20"/>
          <w:color w:val="000000"/>
          <w:strike w:val="1"/>
        </w:rPr>
        <w:t xml:space="preserve"> receipt thereof by such Person (such prepayments to be applied as set forth in </w:t>
      </w:r>
      <w:r>
        <w:rPr>
          <w:rFonts w:ascii="Times New Roman" w:cs="Times New Roman" w:eastAsia="Times New Roman" w:hAnsi="Times New Roman"/>
          <w:sz w:val="20"/>
          <w:szCs w:val="20"/>
          <w:color w:val="FF0000"/>
          <w:strike w:val="1"/>
        </w:rPr>
        <w:t>clause (iv</w:t>
      </w:r>
      <w:r>
        <w:rPr>
          <w:rFonts w:ascii="Times New Roman" w:cs="Times New Roman" w:eastAsia="Times New Roman" w:hAnsi="Times New Roman"/>
          <w:sz w:val="20"/>
          <w:szCs w:val="20"/>
          <w:u w:val="single" w:color="auto"/>
          <w:color w:val="0000FF"/>
          <w:strike w:val="1"/>
        </w:rPr>
        <w:t>clauses (v) and (vi</w:t>
      </w:r>
      <w:r>
        <w:rPr>
          <w:rFonts w:ascii="Times New Roman" w:cs="Times New Roman" w:eastAsia="Times New Roman" w:hAnsi="Times New Roman"/>
          <w:sz w:val="20"/>
          <w:szCs w:val="20"/>
          <w:color w:val="000000"/>
          <w:strike w:val="1"/>
        </w:rPr>
        <w:t>) below).</w:t>
      </w:r>
    </w:p>
    <w:p>
      <w:pPr>
        <w:spacing w:after="0" w:line="184" w:lineRule="exact"/>
        <w:rPr>
          <w:rFonts w:ascii="Times New Roman" w:cs="Times New Roman" w:eastAsia="Times New Roman" w:hAnsi="Times New Roman"/>
          <w:sz w:val="20"/>
          <w:szCs w:val="20"/>
          <w:color w:val="auto"/>
        </w:rPr>
      </w:pPr>
    </w:p>
    <w:p>
      <w:pPr>
        <w:jc w:val="both"/>
        <w:ind w:left="3" w:firstLine="745"/>
        <w:spacing w:after="0" w:line="246" w:lineRule="auto"/>
        <w:tabs>
          <w:tab w:leader="none" w:pos="1291"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If, on the last Business Day of any calendar week, the aggregate amount of Unrestricted Cash of the Company and its Subsidiaries is greater than $70,000,000 (such amount in excess of $70,000,000, the “Excess Cash Amount”), the Borrowers shall, within three (3) Business Days of such last Business Day, prepay an aggregate principal amount of L/C Borrowings, Swingline Loans and Revolving Loans equal to 100% of the Excess Cash Amount (such prepayments to be applied as set forth in clause (vi)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-1530350</wp:posOffset>
            </wp:positionV>
            <wp:extent cx="78676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83">
                      <a:extLst>
                        <a:ext uri="{28A0092B-C50C-407E-A947-70E740481C1C}"/>
                      </a:extLst>
                    </a:blip>
                    <a:srcRect/>
                    <a:stretch>
                      <a:fillRect/>
                    </a:stretch>
                  </pic:blipFill>
                  <pic:spPr bwMode="auto">
                    <a:xfrm>
                      <a:off x="0" y="0"/>
                      <a:ext cx="78676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38" w:name="page239"/>
    <w:bookmarkEnd w:id="238"/>
    <w:p>
      <w:pPr>
        <w:jc w:val="both"/>
        <w:ind w:left="760" w:firstLine="745"/>
        <w:spacing w:after="0" w:line="245" w:lineRule="auto"/>
        <w:tabs>
          <w:tab w:leader="none" w:pos="204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(iv)</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All prepayments of the Loans contemplated by</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clauses (iii)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shall be applied</w:t>
      </w:r>
      <w:r>
        <w:rPr>
          <w:rFonts w:ascii="Times New Roman" w:cs="Times New Roman" w:eastAsia="Times New Roman" w:hAnsi="Times New Roman"/>
          <w:sz w:val="20"/>
          <w:szCs w:val="20"/>
          <w:u w:val="single" w:color="auto"/>
          <w:color w:val="0000FF"/>
        </w:rPr>
        <w:t>, first,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to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principal repayment installments of the Term Loans in direct order of maturity</w:t>
      </w:r>
      <w:r>
        <w:rPr>
          <w:rFonts w:ascii="Times New Roman" w:cs="Times New Roman" w:eastAsia="Times New Roman" w:hAnsi="Times New Roman"/>
          <w:sz w:val="20"/>
          <w:szCs w:val="20"/>
          <w:color w:val="FF0000"/>
          <w:strike w:val="1"/>
        </w:rPr>
        <w:t>. The amount remaining, if any, after the prepayment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color w:val="FF0000"/>
          <w:strike w:val="1"/>
        </w:rPr>
        <w:t xml:space="preserve">in full of all Term Loans, in full may be retained by Loan Parties for use in the ordinary course of their business. </w:t>
      </w:r>
      <w:r>
        <w:rPr>
          <w:rFonts w:ascii="Times New Roman" w:cs="Times New Roman" w:eastAsia="Times New Roman" w:hAnsi="Times New Roman"/>
          <w:sz w:val="20"/>
          <w:szCs w:val="20"/>
          <w:u w:val="single" w:color="auto"/>
          <w:color w:val="0000FF"/>
          <w:strike w:val="1"/>
        </w:rPr>
        <w:t>and, second</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(subject to Section 2.05(b)(ii)), ratably to the Revolving Facility in the manner set forth in clause (vi) below. Subject to Section 2.17, such prepayments shall be paid to the Lenders in accordance with their respective Applicable Percentages in respect of the relevant Facilities.</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Except as otherwise provided in Section 2.17, prepayments of L/C Borrowings, Swingline Loans and Revolving Loans made pursuant to this Section 2.05(b), first, shall be applied ratably to the L/C Borrowings and the Swingline Loans and second, shall be applied to the outstanding Revolving Loans; and, in the case of prepayments of the Revolving Facility with any Asset Sale Prepayment Amount required pursuant to clause (iii) of this Section 2.05(b), the Revolving Commitment shall be automatically and permanently reduced by the Asset Sale Prepayment Amount that has not been applied to the Term Loans as set forth in, and subject to the provisions of, Section 2.06(b)(ii).</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(v)</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Notwithstanding any of the other provisions of clause (iii) of this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000000"/>
        </w:rPr>
        <w:t>, so long as no Specified Event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of Default shall have occurred and be continuing if, on any date on which a prepayment would otherwise be required to be made pursuant to clause (iii) of this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000000"/>
        </w:rPr>
        <w:t xml:space="preserve">, the aggregate amount of Net Cash Proceeds received from and after the Third Amendment Effective Date required by such clause to be applied to prepay Loans on such date is less than or equal to $2,500,000, the Company may defer such prepayment until the first date on which the aggregate amount of Net Cash Proceeds or other amounts received from and after the Third Amendment Effective Date and otherwise required under clause (iii) of this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000000"/>
        </w:rPr>
        <w:t xml:space="preserve"> to be applied to prepay Loans exceeds $2,500,000. During such deferral period the Company may apply all or any part of such aggregate amount to prepay Revolving Loans and may, subject to the fulfillment of the applicable conditions set forth in </w:t>
      </w:r>
      <w:r>
        <w:rPr>
          <w:rFonts w:ascii="Times New Roman" w:cs="Times New Roman" w:eastAsia="Times New Roman" w:hAnsi="Times New Roman"/>
          <w:sz w:val="20"/>
          <w:szCs w:val="20"/>
          <w:u w:val="single" w:color="auto"/>
          <w:color w:val="000000"/>
        </w:rPr>
        <w:t>Article IV</w:t>
      </w:r>
      <w:r>
        <w:rPr>
          <w:rFonts w:ascii="Times New Roman" w:cs="Times New Roman" w:eastAsia="Times New Roman" w:hAnsi="Times New Roman"/>
          <w:sz w:val="20"/>
          <w:szCs w:val="20"/>
          <w:color w:val="000000"/>
        </w:rPr>
        <w:t xml:space="preserve">, reborrow such amounts (which amounts, to the extent originally constituting Net Cash Proceeds, shall be deemed to retain their original character as Net Cash Proceeds when so reborrowed) for application as required by this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000000"/>
        </w:rPr>
        <w:t xml:space="preserve">. Upon the occurrence of a Specified Event of Default during any such deferral period, the Company shall immediately prepay the Loans in the amount of all Net Cash Proceeds received by the applicable Loan Party and other amounts, as applicable, that are required to be applied to prepay Loans under this </w:t>
      </w:r>
      <w:r>
        <w:rPr>
          <w:rFonts w:ascii="Times New Roman" w:cs="Times New Roman" w:eastAsia="Times New Roman" w:hAnsi="Times New Roman"/>
          <w:sz w:val="20"/>
          <w:szCs w:val="20"/>
          <w:u w:val="single" w:color="auto"/>
          <w:color w:val="000000"/>
        </w:rPr>
        <w:t>Section 2.05(b)</w:t>
      </w:r>
      <w:r>
        <w:rPr>
          <w:rFonts w:ascii="Times New Roman" w:cs="Times New Roman" w:eastAsia="Times New Roman" w:hAnsi="Times New Roman"/>
          <w:sz w:val="20"/>
          <w:szCs w:val="20"/>
          <w:color w:val="000000"/>
        </w:rPr>
        <w:t xml:space="preserve"> (without giving effect to the first and second sentences of this clause (</w:t>
      </w:r>
      <w:r>
        <w:rPr>
          <w:rFonts w:ascii="Times New Roman" w:cs="Times New Roman" w:eastAsia="Times New Roman" w:hAnsi="Times New Roman"/>
          <w:sz w:val="20"/>
          <w:szCs w:val="20"/>
          <w:u w:val="single" w:color="auto"/>
          <w:color w:val="FF0000"/>
          <w:strike w:val="1"/>
        </w:rPr>
        <w:t>v</w:t>
      </w:r>
      <w:r>
        <w:rPr>
          <w:rFonts w:ascii="Times New Roman" w:cs="Times New Roman" w:eastAsia="Times New Roman" w:hAnsi="Times New Roman"/>
          <w:sz w:val="20"/>
          <w:szCs w:val="20"/>
          <w:u w:val="single" w:color="auto"/>
          <w:color w:val="0000FF"/>
        </w:rPr>
        <w:t>vii</w:t>
      </w:r>
      <w:r>
        <w:rPr>
          <w:rFonts w:ascii="Times New Roman" w:cs="Times New Roman" w:eastAsia="Times New Roman" w:hAnsi="Times New Roman"/>
          <w:sz w:val="20"/>
          <w:szCs w:val="20"/>
          <w:color w:val="000000"/>
        </w:rPr>
        <w:t>)) but which have not previously been so applied.</w:t>
      </w:r>
    </w:p>
    <w:p>
      <w:pPr>
        <w:spacing w:after="0" w:line="19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2.06 Termination or Reduction of Commitments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FF0000"/>
          <w:strike w:val="1"/>
        </w:rPr>
        <w:t>(a)</w:t>
      </w:r>
    </w:p>
    <w:p>
      <w:pPr>
        <w:spacing w:after="0" w:line="220" w:lineRule="exact"/>
        <w:rPr>
          <w:sz w:val="20"/>
          <w:szCs w:val="20"/>
          <w:color w:val="auto"/>
        </w:rPr>
      </w:pPr>
    </w:p>
    <w:p>
      <w:pPr>
        <w:jc w:val="both"/>
        <w:ind w:firstLine="757"/>
        <w:spacing w:after="0" w:line="254" w:lineRule="auto"/>
        <w:tabs>
          <w:tab w:leader="none" w:pos="1018" w:val="left"/>
        </w:tabs>
        <w:numPr>
          <w:ilvl w:val="1"/>
          <w:numId w:val="13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0000FF"/>
        </w:rPr>
        <w:t>Optional.</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The Company may, upon notice to the Administrative Agent, terminate the Global Revolving Credit Facility, the U.S.</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 xml:space="preserve">Revolving Credit Facility, the Letter of Credit Sublimit, the Global Swing Line Sublimit or the U.S. Swing Line Sublimit, or from time to time permanently reduce the Global Revolving Credit Facility, the U.S. Revolving Credit Facility, the Letter of Credit Sublimit, the Global Swing Line Sublimit or the U.S. Swing Line Sublimit; </w:t>
      </w:r>
      <w:r>
        <w:rPr>
          <w:rFonts w:ascii="Times New Roman" w:cs="Times New Roman" w:eastAsia="Times New Roman" w:hAnsi="Times New Roman"/>
          <w:sz w:val="19"/>
          <w:szCs w:val="19"/>
          <w:u w:val="single" w:color="auto"/>
          <w:color w:val="000000"/>
        </w:rPr>
        <w:t>provided</w:t>
      </w:r>
      <w:r>
        <w:rPr>
          <w:rFonts w:ascii="Times New Roman" w:cs="Times New Roman" w:eastAsia="Times New Roman" w:hAnsi="Times New Roman"/>
          <w:sz w:val="19"/>
          <w:szCs w:val="19"/>
          <w:color w:val="000000"/>
        </w:rPr>
        <w:t xml:space="preserve"> that (i) any such notice shall be received by the Administrative Agent not later than 11:00 a.m. five Business Days prior to the date of termination or reduction, (ii) any such partial reduction shall be in an aggregate amount of $10,000,000 or any whole multiple of $1,000,000 in excess thereof, (iii) the Company shall not terminate or reduce (A) the U.S. Revolving Credit Facility if, after giving effect thereto and to any concurrent prepayments hereunder, the Total U.S. Revolving Credit Outstandings would exceed the U.S. Revolving Credit Facility, (B) the Global Revolving Credit Facility if, after giving effect thereto and to any concurrent prepayments hereunder, the Total Global Revolving Credit Outstandings would exceed the Global Revolving Credit Facility,</w:t>
      </w:r>
    </w:p>
    <w:p>
      <w:pPr>
        <w:spacing w:after="0" w:line="6" w:lineRule="exact"/>
        <w:rPr>
          <w:rFonts w:ascii="Times New Roman" w:cs="Times New Roman" w:eastAsia="Times New Roman" w:hAnsi="Times New Roman"/>
          <w:sz w:val="19"/>
          <w:szCs w:val="19"/>
          <w:color w:val="auto"/>
        </w:rPr>
      </w:pPr>
    </w:p>
    <w:p>
      <w:pPr>
        <w:ind w:left="320" w:hanging="312"/>
        <w:spacing w:after="0"/>
        <w:tabs>
          <w:tab w:leader="none" w:pos="32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Letter of Credit Sublimit if, after giving effect thereto, the Outstanding Amount of L/C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9" w:name="page240"/>
    <w:bookmarkEnd w:id="239"/>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Obligations not fully Cash Collateralized hereunder would exceed the Letter of Credit Sublimit, (D) the U.S. Swing Line Sublimit if, after giving effect thereto and to any concurrent prepayments hereunder, the Outstanding Amount of U.S. Swing Line Loans would exceed the U.S. Swing Line Sublimit or (E) the Global Swing Line Sublimit if, after giving effect thereto and to any concurrent prepayments hereunder, the Outstanding Amount of Global Swing Line Loans would exceed the Global Swing Line Sublimit, and (iv) if, after giving effect to any reduction of the applicable Revolving Facility, the Letter of Credit Sublimit, the Designated Foreign Borrower Sublimit, the U.S. Swing Line Sublimit or the Global Swing Line Sublimit (in any case, as applicable) exceeds the amount of such Revolving Facility, such sublimit shall be automatically reduced by the amount of such excess;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such notice may be conditional on the effectiveness of a replacement credit agreement (or other similar document) or the receipt of proceeds of the issuance of Indebtedness or some other identifiable event or condition and may be revoked by the Company (by written notice to the Administrative Agent at least one (1) Business Day prior to the specified effective date) if such condition is not satisfied. The Administrative Agent will promptly notify the Lenders of any such notice of termination or reduction of the applicable Revolving Facility or sublimit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The amount of any reduction of the U.S. Revolving Credit Facility shall not be applied to the Letter of Credit Sublimit unless otherwise specified by the Company. Any reduction of the applicable Revolving Facility shall be applied to the Commitment of each applicable Revolving Lender according to its Applicable Percentage. All fees accrued until the effective date of any termination of either Revolving Facility shall be paid on the effective date of such termination.</w:t>
      </w:r>
    </w:p>
    <w:p>
      <w:pPr>
        <w:spacing w:after="0" w:line="194" w:lineRule="exact"/>
        <w:rPr>
          <w:sz w:val="20"/>
          <w:szCs w:val="20"/>
          <w:color w:val="auto"/>
        </w:rPr>
      </w:pPr>
    </w:p>
    <w:p>
      <w:pPr>
        <w:ind w:left="1020" w:hanging="263"/>
        <w:spacing w:after="0"/>
        <w:tabs>
          <w:tab w:leader="none" w:pos="102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Mandatory.</w:t>
      </w:r>
    </w:p>
    <w:p>
      <w:pPr>
        <w:spacing w:after="0" w:line="21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The aggregate Term Commitments shall be automatically and permanently reduced to zero on the date of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Term Borrowing.</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048"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The Revolving Commitments shall be automatically and permanently reduced on each date on which the prepayment of L/C Borrowings, Swingline Loans or Revolving Loans outstanding thereunder is required to be made pursuant to Section 2.05(b)(iii) by an amount equal to the Asset Sale Prepayment Amount not applied to Term Loans; provided that, notwithstanding the foregoing provisions of this clause (b)(ii) and Section 2.05(b), in no event shall the Revolving Commitment be reduced in the aggregate, pursuant to this clause (b)(ii), to less than $500,000,000.</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2.07 Repayment of Loans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2" w:lineRule="auto"/>
        <w:tabs>
          <w:tab w:leader="none" w:pos="1018"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xml:space="preserve">. The Company shall repay to the Term Lenders the aggregate principal amount of all Term Loans outstanding on the last day of each fiscal quarter (commencing with the fiscal quarter ending March 31, 2022) in an amount equal to $1,875,000 (which amount shall be reduced as a result of the application of prepayments in accordance with the order of priority set forth in </w:t>
      </w:r>
      <w:r>
        <w:rPr>
          <w:rFonts w:ascii="Times New Roman" w:cs="Times New Roman" w:eastAsia="Times New Roman" w:hAnsi="Times New Roman"/>
          <w:sz w:val="20"/>
          <w:szCs w:val="20"/>
          <w:u w:val="single" w:color="auto"/>
          <w:color w:val="auto"/>
        </w:rPr>
        <w:t>Section 2.05</w:t>
      </w:r>
      <w:r>
        <w:rPr>
          <w:rFonts w:ascii="Times New Roman" w:cs="Times New Roman" w:eastAsia="Times New Roman" w:hAnsi="Times New Roman"/>
          <w:sz w:val="20"/>
          <w:szCs w:val="20"/>
          <w:color w:val="auto"/>
        </w:rPr>
        <w:t xml:space="preserve">), unless accelerated sooner pursuant to Section 8.02;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final principal repayment installment of the Term Loans shall be repaid on the Maturity Date for the Term Facility and in any event shall be in an amount equal to the aggregate principal amount of all Term Loans outstanding on such date and (ii) (A) if any principal repayment installment to be made by the Company (other than principal repayment installments on Term SOFR Loans) shall come due on a day other than a Business Day, such principal repayment installment shall be due on the next succeeding Business Day, and such extension of time shall be reflected in computing interest or fees, as the case may be, and (B) if any principal repayment installment to be made by the Company on a Term SOFR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0" w:name="page241"/>
    <w:bookmarkEnd w:id="240"/>
    <w:p>
      <w:pPr>
        <w:jc w:val="both"/>
        <w:ind w:firstLine="757"/>
        <w:spacing w:after="0" w:line="249"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Loans</w:t>
      </w:r>
      <w:r>
        <w:rPr>
          <w:rFonts w:ascii="Times New Roman" w:cs="Times New Roman" w:eastAsia="Times New Roman" w:hAnsi="Times New Roman"/>
          <w:sz w:val="20"/>
          <w:szCs w:val="20"/>
          <w:color w:val="auto"/>
        </w:rPr>
        <w:t>. Each Borrower shall repay to (i) the U.S. Revolving Credit Lenders on the Maturity Date the aggregate principal amount of all U.S. Revolving Credit Loans made to such Borrower outstanding on such date and (ii) the Global Revolving Credit Lenders on the Maturity Date the aggregate principal amount of all Global Revolving Credit Loans made to such Borrower outstanding on such date.</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Loans</w:t>
      </w:r>
      <w:r>
        <w:rPr>
          <w:rFonts w:ascii="Times New Roman" w:cs="Times New Roman" w:eastAsia="Times New Roman" w:hAnsi="Times New Roman"/>
          <w:sz w:val="20"/>
          <w:szCs w:val="20"/>
          <w:color w:val="auto"/>
        </w:rPr>
        <w:t>. The Company shall repay each Swing Line Loan on the earlier to occur of (i) the date ten Business Days after such Loan is made and (ii) the Maturity Date.</w:t>
      </w:r>
    </w:p>
    <w:p>
      <w:pPr>
        <w:spacing w:after="0" w:line="155" w:lineRule="exact"/>
        <w:rPr>
          <w:sz w:val="20"/>
          <w:szCs w:val="20"/>
          <w:color w:val="auto"/>
        </w:rPr>
      </w:pPr>
    </w:p>
    <w:p>
      <w:pPr>
        <w:jc w:val="both"/>
        <w:ind w:left="100" w:firstLine="749"/>
        <w:spacing w:after="0" w:line="266" w:lineRule="auto"/>
        <w:rPr>
          <w:sz w:val="20"/>
          <w:szCs w:val="20"/>
          <w:color w:val="auto"/>
        </w:rPr>
      </w:pPr>
      <w:r>
        <w:rPr>
          <w:rFonts w:ascii="Times New Roman" w:cs="Times New Roman" w:eastAsia="Times New Roman" w:hAnsi="Times New Roman"/>
          <w:sz w:val="19"/>
          <w:szCs w:val="19"/>
          <w:b w:val="1"/>
          <w:bCs w:val="1"/>
          <w:color w:val="auto"/>
        </w:rPr>
        <w:t>2.08 Interest</w:t>
      </w:r>
      <w:r>
        <w:rPr>
          <w:rFonts w:ascii="Times New Roman" w:cs="Times New Roman" w:eastAsia="Times New Roman" w:hAnsi="Times New Roman"/>
          <w:sz w:val="19"/>
          <w:szCs w:val="19"/>
          <w:color w:val="auto"/>
        </w:rPr>
        <w:t>. (a) Subject to the provisions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below, (i) each Term SOFR Loan shall bear interest on the outstanding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principal amount thereof for each Interest Period at a rate per annum equal to Term SOFR for such Interest Period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the Applicable Rate;</w:t>
      </w:r>
    </w:p>
    <w:p>
      <w:pPr>
        <w:spacing w:after="0" w:line="1" w:lineRule="exact"/>
        <w:rPr>
          <w:sz w:val="20"/>
          <w:szCs w:val="20"/>
          <w:color w:val="auto"/>
        </w:rPr>
      </w:pPr>
    </w:p>
    <w:p>
      <w:pPr>
        <w:jc w:val="both"/>
        <w:ind w:left="100" w:hanging="3"/>
        <w:spacing w:after="0"/>
        <w:tabs>
          <w:tab w:leader="none" w:pos="396"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Base Rate Committed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(iii) each Alternative Currency Daily Rate Loan shall bear interest on the outstanding principal amount thereof from the applicable borrowing date at a rate per annum equal to the Alternative Currency Daily Rate plus the Applicable Rate; (iv) each Alternative Currency Term Rate Loan shall bear interest on the outstanding principal amount thereof for each Interest Period at a rate per annum equal to the Alternative Currency Term Rate for such Interest Period plus the Applicable Rate; (v) each U.S. Swing Line Loan shall bear interest on the outstanding principal amount thereof from the applicable borrowing date at a rate per annum equal to the Base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(vi) each Global Swing Line Loan (Euro) shall bear interest on the outstanding principal amount thereof from the applicable borrowing date at a rate per annum equal to €STR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 and (vii) each Global Swing Line Loan (Sterling) shall bear interest on the outstanding principal amount thereof from the applicable borrowing date at a rate per annum equal to the Alternative Currency Daily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Rate.</w:t>
      </w:r>
    </w:p>
    <w:p>
      <w:pPr>
        <w:spacing w:after="0" w:line="18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request of the Required Lenders, while any Event of Default exists, the Borrowers shall pay interest on the principal amount of all outstanding Obligations hereunder at a fluctuating interest rate per annum at all times equal to the Default Rate to the fullest extent permitted by applicable Laws.</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and unpaid interest on past due amounts (including interest on past due interest) shall be due and payable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demand.</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2"/>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Unpaid interest due by a Belgian Loan Party will be compounded with that overdue amount only if, in accordance with article 1154 of the Belgian Civil Code that interest is due for a period of at least one year, but will remain immediately due and payable.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Interest on each Loan shall be due and payable in arrears on each Interest Payment Date applicable thereto and at such other times as may be specified herein. Interest hereunder shall be due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1" w:name="page242"/>
    <w:bookmarkEnd w:id="241"/>
    <w:p>
      <w:pPr>
        <w:spacing w:after="0" w:line="269" w:lineRule="auto"/>
        <w:rPr>
          <w:sz w:val="20"/>
          <w:szCs w:val="20"/>
          <w:color w:val="auto"/>
        </w:rPr>
      </w:pPr>
      <w:r>
        <w:rPr>
          <w:rFonts w:ascii="Times New Roman" w:cs="Times New Roman" w:eastAsia="Times New Roman" w:hAnsi="Times New Roman"/>
          <w:sz w:val="20"/>
          <w:szCs w:val="20"/>
          <w:color w:val="auto"/>
        </w:rPr>
        <w:t>payable in accordance with the terms hereof before and after judgment, and before and after the commencement of any proceeding under any Debtor Relief Law.</w:t>
      </w:r>
    </w:p>
    <w:p>
      <w:pPr>
        <w:spacing w:after="0" w:line="159" w:lineRule="exact"/>
        <w:rPr>
          <w:sz w:val="20"/>
          <w:szCs w:val="20"/>
          <w:color w:val="auto"/>
        </w:rPr>
      </w:pPr>
    </w:p>
    <w:p>
      <w:pPr>
        <w:jc w:val="both"/>
        <w:ind w:firstLine="757"/>
        <w:spacing w:after="0" w:line="245" w:lineRule="auto"/>
        <w:tabs>
          <w:tab w:leader="none" w:pos="1018"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2.09 Fees</w:t>
      </w:r>
      <w:r>
        <w:rPr>
          <w:rFonts w:ascii="Times New Roman" w:cs="Times New Roman" w:eastAsia="Times New Roman" w:hAnsi="Times New Roman"/>
          <w:sz w:val="20"/>
          <w:szCs w:val="20"/>
          <w:color w:val="auto"/>
        </w:rPr>
        <w:t>. In addition to certain fees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clauses (h)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56" w:lineRule="auto"/>
        <w:tabs>
          <w:tab w:leader="none" w:pos="1018" w:val="left"/>
        </w:tabs>
        <w:numPr>
          <w:ilvl w:val="0"/>
          <w:numId w:val="1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Commitment Fee</w:t>
      </w:r>
      <w:r>
        <w:rPr>
          <w:rFonts w:ascii="Times New Roman" w:cs="Times New Roman" w:eastAsia="Times New Roman" w:hAnsi="Times New Roman"/>
          <w:sz w:val="19"/>
          <w:szCs w:val="19"/>
          <w:color w:val="auto"/>
        </w:rPr>
        <w:t>. The Company shall pay to the Administrative Agent for the account of each (i) U.S. Revolving Credit Lender in accordance with its Applicable Percentage, a commitment fee (the “</w:t>
      </w:r>
      <w:r>
        <w:rPr>
          <w:rFonts w:ascii="Times New Roman" w:cs="Times New Roman" w:eastAsia="Times New Roman" w:hAnsi="Times New Roman"/>
          <w:sz w:val="19"/>
          <w:szCs w:val="19"/>
          <w:u w:val="single" w:color="auto"/>
          <w:color w:val="auto"/>
        </w:rPr>
        <w:t>U.S. Commitment Fee</w:t>
      </w:r>
      <w:r>
        <w:rPr>
          <w:rFonts w:ascii="Times New Roman" w:cs="Times New Roman" w:eastAsia="Times New Roman" w:hAnsi="Times New Roman"/>
          <w:sz w:val="19"/>
          <w:szCs w:val="19"/>
          <w:color w:val="auto"/>
        </w:rPr>
        <w:t xml:space="preserve">”) in Dollars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actual daily amount by which the U.S. Revolving Credit Facility exceeds the sum of (A) the Outstanding Amount of U.S. Revolving Credit Loans and (B) the Outstanding Amount of L/C Obligations; and (ii) Global Revolving Credit Lender in accordance with its Applicable Percentage, a commitment fee (the “</w:t>
      </w:r>
      <w:r>
        <w:rPr>
          <w:rFonts w:ascii="Times New Roman" w:cs="Times New Roman" w:eastAsia="Times New Roman" w:hAnsi="Times New Roman"/>
          <w:sz w:val="19"/>
          <w:szCs w:val="19"/>
          <w:u w:val="single" w:color="auto"/>
          <w:color w:val="auto"/>
        </w:rPr>
        <w:t>Global Commitment Fee</w:t>
      </w:r>
      <w:r>
        <w:rPr>
          <w:rFonts w:ascii="Times New Roman" w:cs="Times New Roman" w:eastAsia="Times New Roman" w:hAnsi="Times New Roman"/>
          <w:sz w:val="19"/>
          <w:szCs w:val="19"/>
          <w:color w:val="auto"/>
        </w:rPr>
        <w:t xml:space="preserve">”) in Dollars equal to the Applicable Rate </w:t>
      </w:r>
      <w:r>
        <w:rPr>
          <w:rFonts w:ascii="Times New Roman" w:cs="Times New Roman" w:eastAsia="Times New Roman" w:hAnsi="Times New Roman"/>
          <w:sz w:val="19"/>
          <w:szCs w:val="19"/>
          <w:u w:val="single" w:color="auto"/>
          <w:color w:val="auto"/>
        </w:rPr>
        <w:t>times</w:t>
      </w:r>
      <w:r>
        <w:rPr>
          <w:rFonts w:ascii="Times New Roman" w:cs="Times New Roman" w:eastAsia="Times New Roman" w:hAnsi="Times New Roman"/>
          <w:sz w:val="19"/>
          <w:szCs w:val="19"/>
          <w:color w:val="auto"/>
        </w:rPr>
        <w:t xml:space="preserve"> the actual daily amount by which the Global Revolving Credit Facility exceeds the Outstanding Amount of Global Revolving Credit Loans. For the avoidance of doubt, the Outstanding Amount of Swing Line Loans shall not be taken into consideration in determining the Commitment Fee. The Commitment Fee shall accrue at all times during the Availability Period, including at any time during which one or more of the conditions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73" w:lineRule="exact"/>
        <w:rPr>
          <w:rFonts w:ascii="Times New Roman" w:cs="Times New Roman" w:eastAsia="Times New Roman" w:hAnsi="Times New Roman"/>
          <w:sz w:val="19"/>
          <w:szCs w:val="19"/>
          <w:color w:val="auto"/>
        </w:rPr>
      </w:pPr>
    </w:p>
    <w:p>
      <w:pPr>
        <w:ind w:firstLine="757"/>
        <w:spacing w:after="0" w:line="269" w:lineRule="auto"/>
        <w:tabs>
          <w:tab w:leader="none" w:pos="1018"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Fees</w:t>
      </w:r>
      <w:r>
        <w:rPr>
          <w:rFonts w:ascii="Times New Roman" w:cs="Times New Roman" w:eastAsia="Times New Roman" w:hAnsi="Times New Roman"/>
          <w:sz w:val="20"/>
          <w:szCs w:val="20"/>
          <w:color w:val="auto"/>
        </w:rPr>
        <w:t>. (i) The Company shall pay to the Administrative Agent for its own account, in Dollars, fees in the amounts and at the times specified in the Fee Letter. Such fees shall be fully earned when paid and shall not be refundable for any reason whatsoever.</w:t>
      </w:r>
    </w:p>
    <w:p>
      <w:pPr>
        <w:spacing w:after="0" w:line="159" w:lineRule="exact"/>
        <w:rPr>
          <w:sz w:val="20"/>
          <w:szCs w:val="20"/>
          <w:color w:val="auto"/>
        </w:rPr>
      </w:pPr>
    </w:p>
    <w:p>
      <w:pPr>
        <w:jc w:val="both"/>
        <w:ind w:left="760" w:firstLine="745"/>
        <w:spacing w:after="0" w:line="254" w:lineRule="auto"/>
        <w:tabs>
          <w:tab w:leader="none" w:pos="204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Borrower shall pay to the Lenders, in Dollars,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2.10 Computations; Retroactive Adjustments.</w:t>
      </w:r>
    </w:p>
    <w:p>
      <w:pPr>
        <w:spacing w:after="0" w:line="220" w:lineRule="exact"/>
        <w:rPr>
          <w:sz w:val="20"/>
          <w:szCs w:val="20"/>
          <w:color w:val="auto"/>
        </w:rPr>
      </w:pPr>
    </w:p>
    <w:p>
      <w:pPr>
        <w:jc w:val="both"/>
        <w:ind w:firstLine="757"/>
        <w:spacing w:after="0" w:line="243" w:lineRule="auto"/>
        <w:tabs>
          <w:tab w:leader="none" w:pos="1018"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computations of interest for Base Rate Loans (including Base Rate Loans determined by reference to Term SOFR, for loans denominated in Alternative Currencies and Global Swing Line Loans (Sterling)) shall be made on the basis of a year of 365 or 366 days, as the case may be, and actual days elapsed. All other computations of fees and interest, including with respect to the Global Swing Line Loans (Euro) shall be made on the basis of a 360-day year and actual days elapsed (which results in more fees or interest, as applicable, being paid than if computed on the basis of a 365-day year), or, in the case of interest in respect of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Loan that is repaid on the same day on which it is made shall, subject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2" w:name="page243"/>
    <w:bookmarkEnd w:id="242"/>
    <w:p>
      <w:pPr>
        <w:spacing w:after="0" w:line="269" w:lineRule="auto"/>
        <w:rPr>
          <w:sz w:val="20"/>
          <w:szCs w:val="20"/>
          <w:color w:val="auto"/>
        </w:rPr>
      </w:pPr>
      <w:r>
        <w:rPr>
          <w:rFonts w:ascii="Times New Roman" w:cs="Times New Roman" w:eastAsia="Times New Roman" w:hAnsi="Times New Roman"/>
          <w:sz w:val="20"/>
          <w:szCs w:val="20"/>
          <w:color w:val="auto"/>
        </w:rPr>
        <w:t xml:space="preserve">to </w:t>
      </w:r>
      <w:r>
        <w:rPr>
          <w:rFonts w:ascii="Times New Roman" w:cs="Times New Roman" w:eastAsia="Times New Roman" w:hAnsi="Times New Roman"/>
          <w:sz w:val="20"/>
          <w:szCs w:val="20"/>
          <w:u w:val="single" w:color="auto"/>
          <w:color w:val="auto"/>
        </w:rPr>
        <w:t>Section 2.12(a)</w:t>
      </w:r>
      <w:r>
        <w:rPr>
          <w:rFonts w:ascii="Times New Roman" w:cs="Times New Roman" w:eastAsia="Times New Roman" w:hAnsi="Times New Roman"/>
          <w:sz w:val="20"/>
          <w:szCs w:val="20"/>
          <w:color w:val="auto"/>
        </w:rPr>
        <w:t>, bear interest for one day. Each determination by the Administrative Agent of an interest rate or fee hereunder shall be conclusive and binding for all purposes, absent manifest error.</w:t>
      </w:r>
    </w:p>
    <w:p>
      <w:pPr>
        <w:spacing w:after="0" w:line="159" w:lineRule="exact"/>
        <w:rPr>
          <w:sz w:val="20"/>
          <w:szCs w:val="20"/>
          <w:color w:val="auto"/>
        </w:rPr>
      </w:pPr>
    </w:p>
    <w:p>
      <w:pPr>
        <w:jc w:val="both"/>
        <w:ind w:firstLine="757"/>
        <w:spacing w:after="0" w:line="242" w:lineRule="auto"/>
        <w:tabs>
          <w:tab w:leader="none" w:pos="1018"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as a result of any restatement of or other adjustment to the financial statements of the Company or for any other reason, the Company or the Lenders determine that (i) the Consolidated Leverage Ratio as calculated by the Company as of any applicable date was inaccurate and (ii) a proper calculation of the Consolidated Leverage Ratio would have resulted in higher pricing for such period, each Borrower shall immediately and retroactively be obligated to pay to the Administrative Agent for the account of the applicable Lenders or the L/C Issuer,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the L/C Issuer), an amount equal to the excess of the amount of interest and fees that should have been paid for such period over the amount of interest and fees actually paid for such period. This clause shall not limit the rights of the Administrative Agent, any Lender or the L/C Issuer, as the case may be, under </w:t>
      </w:r>
      <w:r>
        <w:rPr>
          <w:rFonts w:ascii="Times New Roman" w:cs="Times New Roman" w:eastAsia="Times New Roman" w:hAnsi="Times New Roman"/>
          <w:sz w:val="20"/>
          <w:szCs w:val="20"/>
          <w:u w:val="single" w:color="auto"/>
          <w:color w:val="auto"/>
        </w:rPr>
        <w:t>Section 2.03(c)(iii)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2.08(b)</w:t>
      </w:r>
      <w:r>
        <w:rPr>
          <w:rFonts w:ascii="Times New Roman" w:cs="Times New Roman" w:eastAsia="Times New Roman" w:hAnsi="Times New Roman"/>
          <w:sz w:val="20"/>
          <w:szCs w:val="20"/>
          <w:color w:val="auto"/>
        </w:rPr>
        <w:t xml:space="preserve"> or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The Borrowers’ obligations under this clause shall survive for a period of 180 days following the termination of the Aggregate Commitments and the repayment of all other Obligations hereunder.</w:t>
      </w:r>
    </w:p>
    <w:p>
      <w:pPr>
        <w:spacing w:after="0" w:line="18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2.11 Evidence of Debt</w:t>
      </w:r>
      <w:r>
        <w:rPr>
          <w:rFonts w:ascii="Times New Roman" w:cs="Times New Roman" w:eastAsia="Times New Roman" w:hAnsi="Times New Roman"/>
          <w:sz w:val="20"/>
          <w:szCs w:val="20"/>
          <w:color w:val="auto"/>
        </w:rPr>
        <w:t>. (a) The Credit Extensions made by each Lender shall be evidenced by one or more accounts or records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194" w:lineRule="exact"/>
        <w:rPr>
          <w:sz w:val="20"/>
          <w:szCs w:val="20"/>
          <w:color w:val="auto"/>
        </w:rPr>
      </w:pPr>
    </w:p>
    <w:p>
      <w:pPr>
        <w:jc w:val="both"/>
        <w:ind w:firstLine="757"/>
        <w:spacing w:after="0" w:line="246" w:lineRule="auto"/>
        <w:tabs>
          <w:tab w:leader="none" w:pos="1018"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accounts and records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2.12 Payments Generally; Administrative Agent’s Clawback</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All payments to be made by the Borrowers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3" w:name="page244"/>
    <w:bookmarkEnd w:id="243"/>
    <w:p>
      <w:pPr>
        <w:jc w:val="both"/>
        <w:spacing w:after="0" w:line="242" w:lineRule="auto"/>
        <w:rPr>
          <w:sz w:val="20"/>
          <w:szCs w:val="20"/>
          <w:color w:val="auto"/>
        </w:rPr>
      </w:pPr>
      <w:r>
        <w:rPr>
          <w:rFonts w:ascii="Times New Roman" w:cs="Times New Roman" w:eastAsia="Times New Roman" w:hAnsi="Times New Roman"/>
          <w:sz w:val="20"/>
          <w:szCs w:val="20"/>
          <w:color w:val="auto"/>
        </w:rPr>
        <w:t>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2:00 p.m.,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192" w:lineRule="exact"/>
        <w:rPr>
          <w:sz w:val="20"/>
          <w:szCs w:val="20"/>
          <w:color w:val="auto"/>
        </w:rPr>
      </w:pPr>
    </w:p>
    <w:p>
      <w:pPr>
        <w:jc w:val="both"/>
        <w:ind w:firstLine="757"/>
        <w:spacing w:after="0" w:line="241" w:lineRule="auto"/>
        <w:tabs>
          <w:tab w:leader="none" w:pos="1018"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w:t>
      </w:r>
      <w:r>
        <w:rPr>
          <w:rFonts w:ascii="Times New Roman" w:cs="Times New Roman" w:eastAsia="Times New Roman" w:hAnsi="Times New Roman"/>
          <w:sz w:val="20"/>
          <w:szCs w:val="20"/>
          <w:u w:val="single" w:color="auto"/>
          <w:color w:val="auto"/>
        </w:rPr>
        <w:t>Funding by Lenders; Presumption by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date of any Committed Borrowing of Term SOFR Loans or Alternative Currency Loans (or, in the case of any Committed Borrowing of Base Rate Loans,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xml:space="preserve"> (or, in the case of a Committed Borrowing of Base Rate Loans, that such Lender has made such share available in accordance with and at the time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 and may, in reliance upon 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spacing w:after="0" w:line="190"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Borrowers; Presumptions by Administrative Agent</w:t>
      </w:r>
      <w:r>
        <w:rPr>
          <w:rFonts w:ascii="Times New Roman" w:cs="Times New Roman" w:eastAsia="Times New Roman" w:hAnsi="Times New Roman"/>
          <w:sz w:val="20"/>
          <w:szCs w:val="20"/>
          <w:color w:val="auto"/>
        </w:rPr>
        <w:t>. Unless the Administrative Agent shall have received notice from a Borrower prior to the date on which any payment is due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With respect to any payment that the Administrative Agent makes for the account of the Lenders or the L/C Issuer hereunder as to which the Administrative Agent determines (which determination shall be conclusive absent manifest error) that any of the following applies (such payment referred to as the “</w:t>
      </w:r>
      <w:r>
        <w:rPr>
          <w:rFonts w:ascii="Times New Roman" w:cs="Times New Roman" w:eastAsia="Times New Roman" w:hAnsi="Times New Roman"/>
          <w:sz w:val="20"/>
          <w:szCs w:val="20"/>
          <w:i w:val="1"/>
          <w:iCs w:val="1"/>
          <w:u w:val="single" w:color="auto"/>
          <w:color w:val="auto"/>
        </w:rPr>
        <w:t>Rescindable Amount</w:t>
      </w:r>
      <w:r>
        <w:rPr>
          <w:rFonts w:ascii="Times New Roman" w:cs="Times New Roman" w:eastAsia="Times New Roman" w:hAnsi="Times New Roman"/>
          <w:sz w:val="20"/>
          <w:szCs w:val="20"/>
          <w:color w:val="auto"/>
        </w:rPr>
        <w:t>”) : (1) such Borrower has not in fact made such payment; (2) the Administrative Agent has made a payment in excess of the amount so paid by such Borrower (whether or not then owed); or (3) the Administrative Agent has for any reason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4" w:name="page245"/>
    <w:bookmarkEnd w:id="244"/>
    <w:p>
      <w:pPr>
        <w:jc w:val="both"/>
        <w:ind w:left="760"/>
        <w:spacing w:after="0" w:line="246" w:lineRule="auto"/>
        <w:rPr>
          <w:sz w:val="20"/>
          <w:szCs w:val="20"/>
          <w:color w:val="auto"/>
        </w:rPr>
      </w:pPr>
      <w:r>
        <w:rPr>
          <w:rFonts w:ascii="Times New Roman" w:cs="Times New Roman" w:eastAsia="Times New Roman" w:hAnsi="Times New Roman"/>
          <w:sz w:val="20"/>
          <w:szCs w:val="20"/>
          <w:color w:val="auto"/>
        </w:rPr>
        <w:t>otherwise erroneously made such payment; then each of the Lenders or the L/C Issuer, as the case may be, severally agrees to repay to the Administrative Agent forthwith on demand the Rescindable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85"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A notice of the Administrative Agent to any Lender or the Company with respect to any amount owing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conclusive, absent manifest error.</w:t>
      </w:r>
    </w:p>
    <w:p>
      <w:pPr>
        <w:spacing w:after="0" w:line="159" w:lineRule="exact"/>
        <w:rPr>
          <w:sz w:val="20"/>
          <w:szCs w:val="20"/>
          <w:color w:val="auto"/>
        </w:rPr>
      </w:pPr>
    </w:p>
    <w:p>
      <w:pPr>
        <w:jc w:val="both"/>
        <w:ind w:firstLine="757"/>
        <w:spacing w:after="0" w:line="246" w:lineRule="auto"/>
        <w:tabs>
          <w:tab w:leader="none" w:pos="10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Satisfy Conditions Precedent</w:t>
      </w:r>
      <w:r>
        <w:rPr>
          <w:rFonts w:ascii="Times New Roman" w:cs="Times New Roman" w:eastAsia="Times New Roman" w:hAnsi="Times New Roman"/>
          <w:sz w:val="20"/>
          <w:szCs w:val="20"/>
          <w:color w:val="auto"/>
        </w:rPr>
        <w:t xml:space="preserve">. If any Lender makes available to the Administrative Agent funds for any Loan to be made by such Lender to any Borrower as provided in the foregoing provisions of this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and such funds are not made available to such Borrower by the Administrative Agent because the conditions to the applicable Credit Extension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 of Lenders Several</w:t>
      </w:r>
      <w:r>
        <w:rPr>
          <w:rFonts w:ascii="Times New Roman" w:cs="Times New Roman" w:eastAsia="Times New Roman" w:hAnsi="Times New Roman"/>
          <w:sz w:val="20"/>
          <w:szCs w:val="20"/>
          <w:color w:val="auto"/>
        </w:rPr>
        <w:t xml:space="preserve">. The obligations of the Lenders hereunder to make Committed Loans, to fund participations in Letters of Credit and Swing Line Loans and to make payments pursuant to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are several and not joint. The failure of any Lender to make any Committed Loan, to fund any such participation or to make any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Funding Source</w:t>
      </w:r>
      <w:r>
        <w:rPr>
          <w:rFonts w:ascii="Times New Roman" w:cs="Times New Roman" w:eastAsia="Times New Roman" w:hAnsi="Times New Roman"/>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2.13 Sharing of Payments by Lenders</w:t>
      </w:r>
      <w:r>
        <w:rPr>
          <w:rFonts w:ascii="Times New Roman" w:cs="Times New Roman" w:eastAsia="Times New Roman" w:hAnsi="Times New Roman"/>
          <w:sz w:val="20"/>
          <w:szCs w:val="20"/>
          <w:color w:val="auto"/>
        </w:rPr>
        <w:t>. If any Lender shall, by exercising any right of setoff or counterclaim or otherwise, obtain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w:t>
      </w:r>
      <w:r>
        <w:rPr>
          <w:rFonts w:ascii="Times New Roman" w:cs="Times New Roman" w:eastAsia="Times New Roman" w:hAnsi="Times New Roman"/>
          <w:sz w:val="20"/>
          <w:szCs w:val="20"/>
          <w:u w:val="single" w:color="auto"/>
          <w:color w:val="auto"/>
        </w:rPr>
        <w:t>pro rata</w:t>
      </w:r>
      <w:r>
        <w:rPr>
          <w:rFonts w:ascii="Times New Roman" w:cs="Times New Roman" w:eastAsia="Times New Roman" w:hAnsi="Times New Roman"/>
          <w:sz w:val="20"/>
          <w:szCs w:val="20"/>
          <w:color w:val="auto"/>
        </w:rPr>
        <w:t xml:space="preserve">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sz w:val="20"/>
          <w:szCs w:val="20"/>
          <w:color w:val="auto"/>
        </w:rPr>
      </w:pPr>
    </w:p>
    <w:p>
      <w:pPr>
        <w:jc w:val="both"/>
        <w:ind w:left="760" w:firstLine="745"/>
        <w:spacing w:after="0" w:line="254" w:lineRule="auto"/>
        <w:tabs>
          <w:tab w:leader="none" w:pos="204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(z) any payment obtained by a Lender as consideration for the assignment of or sale of a participation in any of its Committed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5" w:name="page246"/>
    <w:bookmarkEnd w:id="245"/>
    <w:p>
      <w:pPr>
        <w:ind w:left="760" w:right="20"/>
        <w:spacing w:after="0" w:line="269" w:lineRule="auto"/>
        <w:rPr>
          <w:sz w:val="20"/>
          <w:szCs w:val="20"/>
          <w:color w:val="auto"/>
        </w:rPr>
      </w:pPr>
      <w:r>
        <w:rPr>
          <w:rFonts w:ascii="Times New Roman" w:cs="Times New Roman" w:eastAsia="Times New Roman" w:hAnsi="Times New Roman"/>
          <w:sz w:val="20"/>
          <w:szCs w:val="20"/>
          <w:color w:val="auto"/>
        </w:rPr>
        <w:t>Loans or subparticipations in L/C Obligations or Swing Line Loans to any assignee or participant, other than an assignment to the Company or any Subsidiary thereof (as to which the provisions of this Section shall apply).</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70"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b w:val="1"/>
          <w:bCs w:val="1"/>
          <w:color w:val="auto"/>
        </w:rPr>
        <w:t xml:space="preserve">2.14 Designated Borrowers. </w:t>
      </w:r>
      <w:r>
        <w:rPr>
          <w:rFonts w:ascii="Times New Roman" w:cs="Times New Roman" w:eastAsia="Times New Roman" w:hAnsi="Times New Roman"/>
          <w:sz w:val="20"/>
          <w:szCs w:val="20"/>
          <w:color w:val="auto"/>
        </w:rPr>
        <w:t>(a) The Company may at any time, upon not less than 15 Business Days’ notice from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Administrative Agent (or such shorter period as may be agreed by the Administrative Agent in its reasonable discretion), designate any additional wholly-owned Subsidiary of the Company (an “</w:t>
      </w:r>
      <w:r>
        <w:rPr>
          <w:rFonts w:ascii="Times New Roman" w:cs="Times New Roman" w:eastAsia="Times New Roman" w:hAnsi="Times New Roman"/>
          <w:sz w:val="20"/>
          <w:szCs w:val="20"/>
          <w:u w:val="single" w:color="auto"/>
          <w:color w:val="auto"/>
        </w:rPr>
        <w:t>Applicant Borrower</w:t>
      </w:r>
      <w:r>
        <w:rPr>
          <w:rFonts w:ascii="Times New Roman" w:cs="Times New Roman" w:eastAsia="Times New Roman" w:hAnsi="Times New Roman"/>
          <w:sz w:val="20"/>
          <w:szCs w:val="20"/>
          <w:color w:val="auto"/>
        </w:rPr>
        <w:t xml:space="preserve">”) as a Designated Borrower (including, in the case of any Foreign Subsidiary, as a Designated Foreign Borrower) to receive Loans hereunder by delivering to the Administrative Agent (which shall promptly deliver counterparts thereof to each Lender) a duly executed notice and agreement in substantially the form of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Request and Assumption Agreement</w:t>
      </w:r>
      <w:r>
        <w:rPr>
          <w:rFonts w:ascii="Times New Roman" w:cs="Times New Roman" w:eastAsia="Times New Roman" w:hAnsi="Times New Roman"/>
          <w:sz w:val="20"/>
          <w:szCs w:val="20"/>
          <w:color w:val="auto"/>
        </w:rPr>
        <w:t xml:space="preserve">”). The parties hereto acknowledge and agree that prior to any Applicant Borrower becoming entitled to utilize the credit facilities provided for herein (i) the Administrative Agent and the Lenders (including, for the avoidance of doubt, the U.S. Swing Line Lender and the Global Swing Line Lender) that are to provide Commitments and/or Loans in favor of an Applicant Borrower must each agree to such Applicant Borrower becoming a Borrower, (ii) the Administrative Agent and the Lenders (including, for the avoidance of doubt, the U.S. Swing Line Lender and the Global Swing Line Lender) shall have received such supporting resolutions, incumbency certificates, opinions of counsel, documents of the type referred to in </w:t>
      </w:r>
      <w:r>
        <w:rPr>
          <w:rFonts w:ascii="Times New Roman" w:cs="Times New Roman" w:eastAsia="Times New Roman" w:hAnsi="Times New Roman"/>
          <w:sz w:val="20"/>
          <w:szCs w:val="20"/>
          <w:u w:val="single" w:color="auto"/>
          <w:color w:val="auto"/>
        </w:rPr>
        <w:t>clauses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4.01(a)</w:t>
      </w:r>
      <w:r>
        <w:rPr>
          <w:rFonts w:ascii="Times New Roman" w:cs="Times New Roman" w:eastAsia="Times New Roman" w:hAnsi="Times New Roman"/>
          <w:sz w:val="20"/>
          <w:szCs w:val="20"/>
          <w:color w:val="auto"/>
        </w:rPr>
        <w:t xml:space="preserve"> and other documents or information, in form, content and scope reasonably satisfactory to the Administrative Agent, as may be reasonably required by the Administrative Agent or the Required Lenders in their reasonable discretion (including, for the avoidance of doubt, any “know your customer” or similar identification information reasonably requested by the Administrative Agent or any Lender in order for the Administrative Agent or such Lender to carry out and be satisfied that it has complied with the results of all necessary “know your customer” or other similar checks under all applicable Laws, and such compliance has been confirmed), and Notes signed by such new Borrowers to the extent any Lenders so require, and (iii) without limitation of the foregoing, any such Applicant Borrower that is a direct or indirect Foreign Subsidiary of the Company shall have complied with the requirements of </w:t>
      </w:r>
      <w:r>
        <w:rPr>
          <w:rFonts w:ascii="Times New Roman" w:cs="Times New Roman" w:eastAsia="Times New Roman" w:hAnsi="Times New Roman"/>
          <w:sz w:val="20"/>
          <w:szCs w:val="20"/>
          <w:u w:val="single" w:color="auto"/>
          <w:color w:val="auto"/>
        </w:rPr>
        <w:t>Section 6.12(c)</w:t>
      </w:r>
      <w:r>
        <w:rPr>
          <w:rFonts w:ascii="Times New Roman" w:cs="Times New Roman" w:eastAsia="Times New Roman" w:hAnsi="Times New Roman"/>
          <w:sz w:val="20"/>
          <w:szCs w:val="20"/>
          <w:color w:val="auto"/>
        </w:rPr>
        <w:t xml:space="preserve"> to the extent required by the Administrative Agent in its reasonable discretion (the requirements in </w:t>
      </w:r>
      <w:r>
        <w:rPr>
          <w:rFonts w:ascii="Times New Roman" w:cs="Times New Roman" w:eastAsia="Times New Roman" w:hAnsi="Times New Roman"/>
          <w:sz w:val="20"/>
          <w:szCs w:val="20"/>
          <w:u w:val="single" w:color="auto"/>
          <w:color w:val="auto"/>
        </w:rPr>
        <w:t>clauses (i) (ii)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are, collectively, the “</w:t>
      </w:r>
      <w:r>
        <w:rPr>
          <w:rFonts w:ascii="Times New Roman" w:cs="Times New Roman" w:eastAsia="Times New Roman" w:hAnsi="Times New Roman"/>
          <w:sz w:val="20"/>
          <w:szCs w:val="20"/>
          <w:u w:val="single" w:color="auto"/>
          <w:color w:val="auto"/>
        </w:rPr>
        <w:t>Designated Borrower Requirements</w:t>
      </w:r>
      <w:r>
        <w:rPr>
          <w:rFonts w:ascii="Times New Roman" w:cs="Times New Roman" w:eastAsia="Times New Roman" w:hAnsi="Times New Roman"/>
          <w:sz w:val="20"/>
          <w:szCs w:val="20"/>
          <w:color w:val="auto"/>
        </w:rPr>
        <w:t xml:space="preserve">”). If the Designated Borrower Requirements are met, the Administrative Agent shall send a notice in substantially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(a “</w:t>
      </w:r>
      <w:r>
        <w:rPr>
          <w:rFonts w:ascii="Times New Roman" w:cs="Times New Roman" w:eastAsia="Times New Roman" w:hAnsi="Times New Roman"/>
          <w:sz w:val="20"/>
          <w:szCs w:val="20"/>
          <w:u w:val="single" w:color="auto"/>
          <w:color w:val="auto"/>
        </w:rPr>
        <w:t>Designated Borrower Notice</w:t>
      </w:r>
      <w:r>
        <w:rPr>
          <w:rFonts w:ascii="Times New Roman" w:cs="Times New Roman" w:eastAsia="Times New Roman" w:hAnsi="Times New Roman"/>
          <w:sz w:val="20"/>
          <w:szCs w:val="20"/>
          <w:color w:val="auto"/>
        </w:rPr>
        <w:t xml:space="preserve">”) to the Company and the Lenders specifying the effective date upon which the Applicant Borrower shall constitute a Designated Borrower for purposes hereof, whereupon each of the Lenders agrees to permit such Designated Borrower to receive Loans hereunder, on the terms and conditions set forth herein, and each of the parties agrees that such Designated Borrower otherwise shall be a Borrower for all purposes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Committed Loan Notice or Letter of Credit Application may be submitted by or on behalf of such Designated Borrower until the date five Business Days after such effective date.</w:t>
      </w:r>
    </w:p>
    <w:p>
      <w:pPr>
        <w:spacing w:after="0" w:line="208" w:lineRule="exact"/>
        <w:rPr>
          <w:sz w:val="20"/>
          <w:szCs w:val="20"/>
          <w:color w:val="auto"/>
        </w:rPr>
      </w:pPr>
    </w:p>
    <w:p>
      <w:pPr>
        <w:jc w:val="both"/>
        <w:ind w:firstLine="757"/>
        <w:spacing w:after="0" w:line="244" w:lineRule="auto"/>
        <w:tabs>
          <w:tab w:leader="none" w:pos="1018"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specifically provided herein or any other Loan Document, the Obligations of each of the Designated Borrowers shall be joint and several in nature (unless such joint and several liability (i) shall result in adverse tax consequences to any such Designated Borrower or (ii) is not permitted by any Law applicable to such Designated Borrower, in which either such case, the liability of such Designated Borrower shall be several in nature) regardless of which such Person actually receives Credit Extensions hereunder or the amount of such Credit Extensions received or the manner in which the Administrative Agent, the L/C Issuer or any Lender accounts for such Credit Extensions on its books and records. Each of the obligations of each Designated Borrower with respect to Credit Extensions made to it, and each such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6" w:name="page247"/>
    <w:bookmarkEnd w:id="246"/>
    <w:p>
      <w:pPr>
        <w:jc w:val="both"/>
        <w:spacing w:after="0" w:line="254" w:lineRule="auto"/>
        <w:rPr>
          <w:sz w:val="20"/>
          <w:szCs w:val="20"/>
          <w:color w:val="auto"/>
        </w:rPr>
      </w:pPr>
      <w:r>
        <w:rPr>
          <w:rFonts w:ascii="Times New Roman" w:cs="Times New Roman" w:eastAsia="Times New Roman" w:hAnsi="Times New Roman"/>
          <w:sz w:val="20"/>
          <w:szCs w:val="20"/>
          <w:color w:val="auto"/>
        </w:rPr>
        <w:t>Designated Borrower’s obligations arising as a result of the joint and several liability (if any) of such Designated Borrower hereunder, with respect to Credit Extensions made to and other Obligations owing by the other Designated Borrowers hereunder, shall be separate and distinct obligations, but all such obligations shall be primary obligations of each such Designated Borrower.</w:t>
      </w:r>
    </w:p>
    <w:p>
      <w:pPr>
        <w:spacing w:after="0" w:line="174" w:lineRule="exact"/>
        <w:rPr>
          <w:sz w:val="20"/>
          <w:szCs w:val="20"/>
          <w:color w:val="auto"/>
        </w:rPr>
      </w:pPr>
    </w:p>
    <w:p>
      <w:pPr>
        <w:jc w:val="both"/>
        <w:ind w:firstLine="757"/>
        <w:spacing w:after="0" w:line="258" w:lineRule="auto"/>
        <w:tabs>
          <w:tab w:leader="none" w:pos="1018" w:val="left"/>
        </w:tabs>
        <w:numPr>
          <w:ilvl w:val="0"/>
          <w:numId w:val="1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Subsidiary of the Company that is or becomes a “Designated Borrower”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73" w:lineRule="exact"/>
        <w:rPr>
          <w:rFonts w:ascii="Times New Roman" w:cs="Times New Roman" w:eastAsia="Times New Roman" w:hAnsi="Times New Roman"/>
          <w:sz w:val="19"/>
          <w:szCs w:val="19"/>
          <w:color w:val="auto"/>
        </w:rPr>
      </w:pPr>
    </w:p>
    <w:p>
      <w:pPr>
        <w:jc w:val="both"/>
        <w:ind w:firstLine="757"/>
        <w:spacing w:after="0" w:line="243" w:lineRule="auto"/>
        <w:tabs>
          <w:tab w:leader="none" w:pos="1018"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from time to time, upon not less than 15 Business Days’ notice from the Company to the Administrative Agent (or such shorter period as may be agreed by the Administrative Agent in its reasonable discretion), terminate a Designated Borrower’s status as such;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 The Administrative Agent shall, within 15 days of receipt of a written request of the Company, take such action and execute such documents as the Company shall reasonably request, at the sole cost and expense of the Company, to give effect to the termination, release and discharge of such former Designated Borrower’s obligations as a Designated Borrower (and the release of all Liens on the assets of such former Designated Borrower securing the Obligations), in each case so long as no Default has occurred and is continuing.</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2.15 Increase in Commitments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2"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Increase</w:t>
      </w:r>
      <w:r>
        <w:rPr>
          <w:rFonts w:ascii="Times New Roman" w:cs="Times New Roman" w:eastAsia="Times New Roman" w:hAnsi="Times New Roman"/>
          <w:sz w:val="20"/>
          <w:szCs w:val="20"/>
          <w:color w:val="auto"/>
        </w:rPr>
        <w:t>. Provided there exists no Event of Default, upon notice to the Administrative Agent, the Company may from time to time request (x) an increase in the U.S. Revolving Credit Facility and/or the Global Revolving Credit Facility and/or (y) the establishment of one or more new term loan commitments (each, an “</w:t>
      </w:r>
      <w:r>
        <w:rPr>
          <w:rFonts w:ascii="Times New Roman" w:cs="Times New Roman" w:eastAsia="Times New Roman" w:hAnsi="Times New Roman"/>
          <w:sz w:val="20"/>
          <w:szCs w:val="20"/>
          <w:u w:val="single" w:color="auto"/>
          <w:color w:val="auto"/>
        </w:rPr>
        <w:t>Incremental Term Commitment</w:t>
      </w:r>
      <w:r>
        <w:rPr>
          <w:rFonts w:ascii="Times New Roman" w:cs="Times New Roman" w:eastAsia="Times New Roman" w:hAnsi="Times New Roman"/>
          <w:sz w:val="20"/>
          <w:szCs w:val="20"/>
          <w:color w:val="auto"/>
        </w:rPr>
        <w:t xml:space="preserve">”) by an amount (after giving effect to all increases under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not exceeding (a) $300,000,000 in the aggregate (for all such requests), plus (b) the aggregate amount of any voluntary prepayments, repurchases, redemptions or other retirements of the Term Loans, Incremental Term Loans or Revolving Commitments (in each case, together, in the case of any Indebtedness constituting revolving indebtedness, voluntary permanent reductions of such revolving credit commitments on a dollar-for-dollar basis) effected after the Closing Date (but excluding (A) any prepayment of such Indebtedness with the proceeds of substantially concurrent borrowings of new Loans hereunder (other than borrowings under the Revolving Facility), (B) any reduction of such revolving commitments in connection with a substantially concurrent issuance of new revolving commitments hereunder and (C) prepayments with the proceeds of substantially concurrent incurrence of other long-term Indebtedness (other than borrowings under the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request for an increase shall be in a minimum amount of $25,000,000.</w:t>
      </w:r>
    </w:p>
    <w:p>
      <w:pPr>
        <w:spacing w:after="0" w:line="187"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Elections to Increase</w:t>
      </w:r>
      <w:r>
        <w:rPr>
          <w:rFonts w:ascii="Times New Roman" w:cs="Times New Roman" w:eastAsia="Times New Roman" w:hAnsi="Times New Roman"/>
          <w:sz w:val="20"/>
          <w:szCs w:val="20"/>
          <w:color w:val="auto"/>
        </w:rPr>
        <w:t>. Each Lender shall notify the Administrative Agent within such time period whether or not it agrees to (i) increase its applicable Revolving Commitment or (ii) provide an Incremental Term Commitment, and, if so, whether by an amount equal to, greater than, or less than its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spacing w:after="0" w:line="269" w:lineRule="auto"/>
        <w:rPr>
          <w:sz w:val="20"/>
          <w:szCs w:val="20"/>
          <w:color w:val="auto"/>
        </w:rPr>
      </w:pPr>
      <w:r>
        <w:rPr>
          <w:rFonts w:ascii="Times New Roman" w:cs="Times New Roman" w:eastAsia="Times New Roman" w:hAnsi="Times New Roman"/>
          <w:sz w:val="20"/>
          <w:szCs w:val="20"/>
          <w:color w:val="auto"/>
        </w:rPr>
        <w:t>Applicable Percentage of such requested increase. Any Lender not responding within such time period shall be deemed to have declined any such requested increase.</w:t>
      </w:r>
    </w:p>
    <w:p>
      <w:pPr>
        <w:spacing w:after="0" w:line="159" w:lineRule="exact"/>
        <w:rPr>
          <w:sz w:val="20"/>
          <w:szCs w:val="20"/>
          <w:color w:val="auto"/>
        </w:rPr>
      </w:pPr>
    </w:p>
    <w:p>
      <w:pPr>
        <w:jc w:val="both"/>
        <w:ind w:firstLine="757"/>
        <w:spacing w:after="0" w:line="246"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 Additional Lenders</w:t>
      </w:r>
      <w:r>
        <w:rPr>
          <w:rFonts w:ascii="Times New Roman" w:cs="Times New Roman" w:eastAsia="Times New Roman" w:hAnsi="Times New Roman"/>
          <w:sz w:val="20"/>
          <w:szCs w:val="20"/>
          <w:color w:val="auto"/>
        </w:rPr>
        <w:t>. The Administrative Agent shall notify the Company and each Lender of the Lenders’ responses to each request made hereunder. To achieve the full amount of a requested increase and subject to the approval of the Administrative Agent, and, in the case of any increase in either Revolving Facility, the L/C Issuer and the Swing Line Lender (which approvals shall not be unreasonably withheld), the Company may also invite additional Eligible Assignees to become Lenders pursuant to a joinder agreement in form and substance reasonably satisfactory to the Administrative Agent and its counsel.</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If the Aggregate Commitments are increased in accordance with this Section, the Administrative Agent and the Company shall determine the effective date (the “</w:t>
      </w:r>
      <w:r>
        <w:rPr>
          <w:rFonts w:ascii="Times New Roman" w:cs="Times New Roman" w:eastAsia="Times New Roman" w:hAnsi="Times New Roman"/>
          <w:sz w:val="20"/>
          <w:szCs w:val="20"/>
          <w:u w:val="single" w:color="auto"/>
          <w:color w:val="auto"/>
        </w:rPr>
        <w:t>Increase Effective Date</w:t>
      </w:r>
      <w:r>
        <w:rPr>
          <w:rFonts w:ascii="Times New Roman" w:cs="Times New Roman" w:eastAsia="Times New Roman" w:hAnsi="Times New Roman"/>
          <w:sz w:val="20"/>
          <w:szCs w:val="20"/>
          <w:color w:val="auto"/>
        </w:rPr>
        <w:t>”) and the final allocation of such increase. The Administrative Agent shall promptly notify the Company and the Lenders of the final allocation of such increase and the Increase Effective Date.</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Increase</w:t>
      </w:r>
      <w:r>
        <w:rPr>
          <w:rFonts w:ascii="Times New Roman" w:cs="Times New Roman" w:eastAsia="Times New Roman" w:hAnsi="Times New Roman"/>
          <w:sz w:val="20"/>
          <w:szCs w:val="20"/>
          <w:color w:val="auto"/>
        </w:rPr>
        <w:t xml:space="preserve">. As a condition precedent to such increase, the Company shall deliver to the Administrative Agent (for distribution to the Lenders) a certificate of each Loan Party dated as of the Increase Effective Date signed by a Responsible Officer of such Loan Party (i) certifying and attaching the resolutions adopted by such Loan Party approving or consenting to such increase, and (ii) in the case of the Company, certifying that, before and after giving effect to such increase, (A) the representations and warranties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Section 5.05</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 (B) no Default exists. The Borrowers shall be deemed to prepay any Committed Loans outstanding on the Increase Effective Date (and pay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and reborrow Committed Loans in the equivalent amount to the extent necessary to keep the outstanding Committed Loans ratable with any revised Applicable Percentages arising from any nonratable increase in the Commitments under this Section.</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New Loans and Commitments</w:t>
      </w:r>
      <w:r>
        <w:rPr>
          <w:rFonts w:ascii="Times New Roman" w:cs="Times New Roman" w:eastAsia="Times New Roman" w:hAnsi="Times New Roman"/>
          <w:sz w:val="20"/>
          <w:szCs w:val="20"/>
          <w:color w:val="auto"/>
        </w:rPr>
        <w:t>.  The terms and provisions of Loans made pursuant to this Section 2.15 shall be as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follows:</w:t>
      </w:r>
    </w:p>
    <w:p>
      <w:pPr>
        <w:spacing w:after="0" w:line="193"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terms and provisions of incremental Term Loans made pursuant to the Incremental Term Commitment (the “</w:t>
      </w:r>
      <w:r>
        <w:rPr>
          <w:rFonts w:ascii="Times New Roman" w:cs="Times New Roman" w:eastAsia="Times New Roman" w:hAnsi="Times New Roman"/>
          <w:sz w:val="20"/>
          <w:szCs w:val="20"/>
          <w:u w:val="single" w:color="auto"/>
          <w:color w:val="auto"/>
        </w:rPr>
        <w:t>Incremental Term Loans</w:t>
      </w:r>
      <w:r>
        <w:rPr>
          <w:rFonts w:ascii="Times New Roman" w:cs="Times New Roman" w:eastAsia="Times New Roman" w:hAnsi="Times New Roman"/>
          <w:sz w:val="20"/>
          <w:szCs w:val="20"/>
          <w:color w:val="auto"/>
        </w:rPr>
        <w:t xml:space="preserve">”) shall be, except as otherwise set forth herein or in the applicable joinder, identical to the Term Loans (it being understood that Incremental Term Loans may be a part of the Term Loans) and to the extent that the terms and provisions of Incremental Term Loans are not identical to the Term Loans (except to the extent permitted by clause (iii), (iv) or (v) below) they shall be (i) reasonably satisfactory to the Administrative Agent or (ii) to the extent any new financial or other covenant is added, or modified to be more restrictive, for the benefit of Incremental Term Loans, such covenant or more restrictive provision shall be permitted and automatically added to this Agreement for the benefit of any existing Term Loans and the Revolving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event the Incremental Term Loans must comply with clauses (iii), (iv) and (v) below;</w:t>
      </w:r>
    </w:p>
    <w:p>
      <w:pPr>
        <w:spacing w:after="0" w:line="18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provisions of Revolving Loans made pursuant to new Commitments under this Section shall be identical to the applicable Revolving Loans (whether Global Revolving Credit Loans or U.S. Revolving Credit Loans);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8" w:name="page249"/>
    <w:bookmarkEnd w:id="248"/>
    <w:p>
      <w:pPr>
        <w:ind w:left="760" w:right="20" w:firstLine="745"/>
        <w:spacing w:after="0" w:line="269" w:lineRule="auto"/>
        <w:tabs>
          <w:tab w:leader="none" w:pos="2048"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to maturity of any Incremental Term Loans shall be no shorter than the remaining weighted average life to maturity of the then existing Term Loans;</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maturity date of Incremental Term Loans shall not be earlier than the Maturity Date for Term Loans;</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56" w:lineRule="auto"/>
        <w:tabs>
          <w:tab w:leader="none" w:pos="2048" w:val="left"/>
        </w:tabs>
        <w:numPr>
          <w:ilvl w:val="1"/>
          <w:numId w:val="1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Applicable Rate for Incremental Term Loans shall be determined by the Company and the Lenders of the Incremental Term Loans;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 such Incremental Term Loans are incurred prior to the first anniversary of the Closing Date and (B) the Applicable Rate for any Incremental Term Loan is greater than the Applicable Rate for the Term Loans by more than fifty (50) basis points, then the Applicable Rate for the Term Loans shall be increased to the extent necessary so that the Applicable Rate for the Incremental Term Loans is equal to the Applicable Rate for the Term Loans plus fifty</w:t>
      </w:r>
    </w:p>
    <w:p>
      <w:pPr>
        <w:spacing w:after="0" w:line="4" w:lineRule="exact"/>
        <w:rPr>
          <w:rFonts w:ascii="Times New Roman" w:cs="Times New Roman" w:eastAsia="Times New Roman" w:hAnsi="Times New Roman"/>
          <w:sz w:val="19"/>
          <w:szCs w:val="19"/>
          <w:color w:val="auto"/>
        </w:rPr>
      </w:pPr>
    </w:p>
    <w:p>
      <w:pPr>
        <w:jc w:val="both"/>
        <w:ind w:left="760" w:hanging="3"/>
        <w:spacing w:after="0" w:line="252" w:lineRule="auto"/>
        <w:tabs>
          <w:tab w:leader="none" w:pos="1148" w:val="left"/>
        </w:tabs>
        <w:numPr>
          <w:ilvl w:val="0"/>
          <w:numId w:val="1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basis points, and the Applicable Rate for Revolving Loans (at each point in the table set forth in the definition of “Applicable Rate,” to the extent applicable) shall be increased by the same number of basis points as the Applicable Rate for the Term Loan is increased;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in determining the Applicable Rate applicable to the Term Loans and the Incremental Term Loans,</w:t>
      </w:r>
    </w:p>
    <w:p>
      <w:pPr>
        <w:jc w:val="both"/>
        <w:ind w:left="7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(x) original issue discount (“OID”) or upfront fees (which shall be deemed to constitute like amounts of OID) payable by the applicable Borrowers to the Lenders of the Term Loans or the Incremental Term Loans in the primary syndication thereof shall be included (with OID being equated to interest based on an assumed four-year life to maturity), (y) customary arrangement or commitment fees payable to the Arranger (or its respective affiliates) in connection with the Term Loans or to one or more arrangers (or their affiliates) of the Incremental Term Loans shall be excluded; and (z) if Term SOFR or Base Rate “floor” for the Incremental Term Loans is greater than Term SOFR or Base Rate “floor,” respectively, for the existing Term Loans, the difference between such floor for the Incremental Term Loans and the existing Term Loans shall be equated to an increase in the Applicable Rate for purposes of this clause (v).</w:t>
      </w:r>
    </w:p>
    <w:p>
      <w:pPr>
        <w:spacing w:after="0" w:line="190" w:lineRule="exact"/>
        <w:rPr>
          <w:sz w:val="20"/>
          <w:szCs w:val="20"/>
          <w:color w:val="auto"/>
        </w:rPr>
      </w:pPr>
    </w:p>
    <w:p>
      <w:pPr>
        <w:jc w:val="both"/>
        <w:ind w:firstLine="757"/>
        <w:spacing w:after="0" w:line="254" w:lineRule="auto"/>
        <w:tabs>
          <w:tab w:leader="none" w:pos="101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of Incremental Term Loans</w:t>
      </w:r>
      <w:r>
        <w:rPr>
          <w:rFonts w:ascii="Times New Roman" w:cs="Times New Roman" w:eastAsia="Times New Roman" w:hAnsi="Times New Roman"/>
          <w:sz w:val="20"/>
          <w:szCs w:val="20"/>
          <w:color w:val="auto"/>
        </w:rPr>
        <w:t>. On any Increase Effective Date on which new Commitments for Term Loans are effective, subject to the satisfaction of the foregoing terms and conditions, each Lender of such new Commitment shall make a Term Loan to the Company in an amount equal to its new Commitment.</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to the contrary. In addition, unless otherwise specifically provided herein, all references in Loan Documents to Revolving Loans or Term Loans shall be deemed, unless the context otherwise requires, to include references to Revolving Loans and Term Loans made pursuant to this Section.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2.16 Cash Collateral.</w:t>
      </w:r>
    </w:p>
    <w:p>
      <w:pPr>
        <w:spacing w:after="0" w:line="220" w:lineRule="exact"/>
        <w:rPr>
          <w:sz w:val="20"/>
          <w:szCs w:val="20"/>
          <w:color w:val="auto"/>
        </w:rPr>
      </w:pPr>
    </w:p>
    <w:p>
      <w:pPr>
        <w:jc w:val="both"/>
        <w:ind w:firstLine="757"/>
        <w:spacing w:after="0" w:line="244" w:lineRule="auto"/>
        <w:tabs>
          <w:tab w:leader="none" w:pos="1018"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If (i) the L/C Issuer has honored any full or partial drawing request under any Letter of Credit and such drawing has resulted in an L/C Borrowing, (ii) as of the Letter of Credit Expiration Date, any L/C Obligation for any reason remains outstanding, (iii) the Company shall be required to provide Cash Collateral pursuant to </w:t>
      </w:r>
      <w:r>
        <w:rPr>
          <w:rFonts w:ascii="Times New Roman" w:cs="Times New Roman" w:eastAsia="Times New Roman" w:hAnsi="Times New Roman"/>
          <w:sz w:val="20"/>
          <w:szCs w:val="20"/>
          <w:u w:val="single" w:color="auto"/>
          <w:color w:val="auto"/>
        </w:rPr>
        <w:t>Section 8.02(c)</w:t>
      </w:r>
      <w:r>
        <w:rPr>
          <w:rFonts w:ascii="Times New Roman" w:cs="Times New Roman" w:eastAsia="Times New Roman" w:hAnsi="Times New Roman"/>
          <w:sz w:val="20"/>
          <w:szCs w:val="20"/>
          <w:color w:val="auto"/>
        </w:rPr>
        <w:t xml:space="preserve">, or (iv) there shall exist a Defaulting Lender, the Company shall immediately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above,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the Defaulting Lender).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9" w:name="page250"/>
    <w:bookmarkEnd w:id="249"/>
    <w:p>
      <w:pPr>
        <w:jc w:val="both"/>
        <w:ind w:firstLine="757"/>
        <w:spacing w:after="0" w:line="242" w:lineRule="auto"/>
        <w:tabs>
          <w:tab w:leader="none" w:pos="101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Company,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2.16(c)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the L/C Issuer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18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Sections 2.03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xml:space="preserve">. Cash Collateral (or the appropriate portion thereof) provided to reduce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or (ii) the determination by the Administrative Agent and the L/C Issuer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L/C Issuer may agree that Cash Collateral shall not be released but instead held to support future anticipated Fronting Exposure or other obligations.</w:t>
      </w:r>
    </w:p>
    <w:p>
      <w:pPr>
        <w:spacing w:after="0" w:line="18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2.17 Defaulting Lenders</w:t>
      </w:r>
      <w:r>
        <w:rPr>
          <w:rFonts w:ascii="Times New Roman" w:cs="Times New Roman" w:eastAsia="Times New Roman" w:hAnsi="Times New Roman"/>
          <w:sz w:val="20"/>
          <w:szCs w:val="20"/>
          <w:color w:val="auto"/>
        </w:rPr>
        <w: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Notwithstanding anything to the contrary contained in this Agreement, if any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becomes a Defaulting Lender, then, until such time as that Lender is no longer a Defaulting Lender, to the extent permitted by applicable Law:</w:t>
      </w:r>
    </w:p>
    <w:p>
      <w:pPr>
        <w:spacing w:after="0" w:line="173" w:lineRule="exact"/>
        <w:rPr>
          <w:sz w:val="20"/>
          <w:szCs w:val="20"/>
          <w:color w:val="auto"/>
        </w:rPr>
      </w:pPr>
    </w:p>
    <w:p>
      <w:pPr>
        <w:ind w:left="760" w:firstLine="745"/>
        <w:spacing w:after="0" w:line="269" w:lineRule="auto"/>
        <w:tabs>
          <w:tab w:leader="none" w:pos="20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L/C Issuer or the Swing Line Lenders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L/C Issuer’s Fronting Exposure with respect to such Defaulting Lender in accordance with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as the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0" w:name="page251"/>
    <w:bookmarkEnd w:id="250"/>
    <w:p>
      <w:pPr>
        <w:jc w:val="both"/>
        <w:ind w:left="3"/>
        <w:spacing w:after="0" w:line="253" w:lineRule="auto"/>
        <w:rPr>
          <w:sz w:val="20"/>
          <w:szCs w:val="20"/>
          <w:color w:val="auto"/>
        </w:rPr>
      </w:pPr>
      <w:r>
        <w:rPr>
          <w:rFonts w:ascii="Times New Roman" w:cs="Times New Roman" w:eastAsia="Times New Roman" w:hAnsi="Times New Roman"/>
          <w:sz w:val="19"/>
          <w:szCs w:val="19"/>
          <w:color w:val="auto"/>
        </w:rPr>
        <w:t xml:space="preserve">Company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9"/>
          <w:szCs w:val="19"/>
          <w:i w:val="1"/>
          <w:iCs w:val="1"/>
          <w:color w:val="auto"/>
        </w:rPr>
        <w:t>fifth</w:t>
      </w:r>
      <w:r>
        <w:rPr>
          <w:rFonts w:ascii="Times New Roman" w:cs="Times New Roman" w:eastAsia="Times New Roman" w:hAnsi="Times New Roman"/>
          <w:sz w:val="19"/>
          <w:szCs w:val="19"/>
          <w:color w:val="auto"/>
        </w:rPr>
        <w:t>, if so determined by the Administrative Agent and the Company, to be held in a deposit account and released pro rata in order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sixth</w:t>
      </w:r>
      <w:r>
        <w:rPr>
          <w:rFonts w:ascii="Times New Roman" w:cs="Times New Roman" w:eastAsia="Times New Roman" w:hAnsi="Times New Roman"/>
          <w:sz w:val="19"/>
          <w:szCs w:val="19"/>
          <w:color w:val="auto"/>
        </w:rPr>
        <w:t xml:space="preserve">, to the payment of any amounts owing to the Lenders, the L/C Issuer or the Swing Line Lenders as a result of any judgment of a court of competent jurisdiction obtained by any Lender, the L/C Issuer or any Swing Line Lender against such Defaulting Lender as a result of such Defaulting Lender’s breach of its obligations under this Agreement; </w:t>
      </w:r>
      <w:r>
        <w:rPr>
          <w:rFonts w:ascii="Times New Roman" w:cs="Times New Roman" w:eastAsia="Times New Roman" w:hAnsi="Times New Roman"/>
          <w:sz w:val="19"/>
          <w:szCs w:val="19"/>
          <w:i w:val="1"/>
          <w:iCs w:val="1"/>
          <w:color w:val="auto"/>
        </w:rPr>
        <w:t>seventh</w:t>
      </w:r>
      <w:r>
        <w:rPr>
          <w:rFonts w:ascii="Times New Roman" w:cs="Times New Roman" w:eastAsia="Times New Roman" w:hAnsi="Times New Roman"/>
          <w:sz w:val="19"/>
          <w:szCs w:val="19"/>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Times New Roman" w:cs="Times New Roman" w:eastAsia="Times New Roman" w:hAnsi="Times New Roman"/>
          <w:sz w:val="19"/>
          <w:szCs w:val="19"/>
          <w:i w:val="1"/>
          <w:iCs w:val="1"/>
          <w:color w:val="auto"/>
        </w:rPr>
        <w:t>eighth</w:t>
      </w:r>
      <w:r>
        <w:rPr>
          <w:rFonts w:ascii="Times New Roman" w:cs="Times New Roman" w:eastAsia="Times New Roman" w:hAnsi="Times New Roman"/>
          <w:sz w:val="19"/>
          <w:szCs w:val="19"/>
          <w:color w:val="auto"/>
        </w:rPr>
        <w:t xml:space="preserve">, to such Defaulting Lender or as otherwise directed by a court of competent jurisdiction;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(x) such payment is a payment of the principal amount of any Loans or L/C Borrowings in respect of which such Defaulting Lender has not fully funded its appropriate share, and</w:t>
      </w:r>
    </w:p>
    <w:p>
      <w:pPr>
        <w:spacing w:after="0" w:line="11" w:lineRule="exact"/>
        <w:rPr>
          <w:sz w:val="20"/>
          <w:szCs w:val="20"/>
          <w:color w:val="auto"/>
        </w:rPr>
      </w:pPr>
    </w:p>
    <w:p>
      <w:pPr>
        <w:jc w:val="both"/>
        <w:ind w:left="3" w:hanging="3"/>
        <w:spacing w:after="0"/>
        <w:tabs>
          <w:tab w:leader="none" w:pos="292" w:val="left"/>
        </w:tabs>
        <w:numPr>
          <w:ilvl w:val="0"/>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90"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6" w:lineRule="exact"/>
        <w:rPr>
          <w:rFonts w:ascii="Times New Roman" w:cs="Times New Roman" w:eastAsia="Times New Roman" w:hAnsi="Times New Roman"/>
          <w:sz w:val="20"/>
          <w:szCs w:val="20"/>
          <w:color w:val="auto"/>
        </w:rPr>
      </w:pPr>
    </w:p>
    <w:p>
      <w:pPr>
        <w:jc w:val="both"/>
        <w:ind w:left="743" w:right="20" w:firstLine="754"/>
        <w:spacing w:after="0" w:line="248" w:lineRule="auto"/>
        <w:tabs>
          <w:tab w:leader="none" w:pos="1791" w:val="left"/>
        </w:tabs>
        <w:numPr>
          <w:ilvl w:val="2"/>
          <w:numId w:val="161"/>
        </w:numPr>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No Defaulting Lender shall be entitled to receive any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162" w:lineRule="exact"/>
        <w:rPr>
          <w:rFonts w:ascii="Times New Roman" w:cs="Times New Roman" w:eastAsia="Times New Roman" w:hAnsi="Times New Roman"/>
          <w:sz w:val="20"/>
          <w:szCs w:val="20"/>
          <w:color w:val="auto"/>
        </w:rPr>
      </w:pPr>
    </w:p>
    <w:p>
      <w:pPr>
        <w:jc w:val="both"/>
        <w:ind w:left="743" w:firstLine="754"/>
        <w:spacing w:after="0" w:line="254" w:lineRule="auto"/>
        <w:tabs>
          <w:tab w:leader="none" w:pos="1791"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left="743" w:firstLine="754"/>
        <w:spacing w:after="0" w:line="243" w:lineRule="auto"/>
        <w:tabs>
          <w:tab w:leader="none" w:pos="1791" w:val="left"/>
        </w:tabs>
        <w:numPr>
          <w:ilvl w:val="2"/>
          <w:numId w:val="1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fee payable under </w:t>
      </w:r>
      <w:r>
        <w:rPr>
          <w:rFonts w:ascii="Times New Roman" w:cs="Times New Roman" w:eastAsia="Times New Roman" w:hAnsi="Times New Roman"/>
          <w:sz w:val="20"/>
          <w:szCs w:val="20"/>
          <w:u w:val="single" w:color="auto"/>
          <w:color w:val="auto"/>
        </w:rPr>
        <w:t>Section 2.09(a)</w:t>
      </w:r>
      <w:r>
        <w:rPr>
          <w:rFonts w:ascii="Times New Roman" w:cs="Times New Roman" w:eastAsia="Times New Roman" w:hAnsi="Times New Roman"/>
          <w:sz w:val="20"/>
          <w:szCs w:val="20"/>
          <w:color w:val="auto"/>
        </w:rPr>
        <w:t xml:space="preserve"> or any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Company shall (or shall cause the applicable Designated Borrower to)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200" w:lineRule="exact"/>
        <w:rPr>
          <w:sz w:val="20"/>
          <w:szCs w:val="20"/>
          <w:color w:val="auto"/>
        </w:rPr>
      </w:pPr>
    </w:p>
    <w:p>
      <w:pPr>
        <w:spacing w:after="0" w:line="241"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51" w:name="page252"/>
    <w:bookmarkEnd w:id="251"/>
    <w:p>
      <w:pPr>
        <w:jc w:val="both"/>
        <w:ind w:left="760" w:firstLine="745"/>
        <w:spacing w:after="0" w:line="242"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Applicable Percentages to Reduce Fronting Exposure</w:t>
      </w:r>
      <w:r>
        <w:rPr>
          <w:rFonts w:ascii="Times New Roman" w:cs="Times New Roman" w:eastAsia="Times New Roman" w:hAnsi="Times New Roman"/>
          <w:sz w:val="20"/>
          <w:szCs w:val="20"/>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are satisfied at the time of such reallocation (and, unless the Company shall have otherwise notified the Administrative Agent at such time, the applicable Borrowers shall be deemed to have represented and warranted that such conditions are satisfied at such time), and (y) such reallocation does not cause the aggregate Revolving Credit Exposure of any Non-Defaulting Lender to exceed such Non-Defaulting Lender’s Commitment. Subject to </w:t>
      </w:r>
      <w:r>
        <w:rPr>
          <w:rFonts w:ascii="Times New Roman" w:cs="Times New Roman" w:eastAsia="Times New Roman" w:hAnsi="Times New Roman"/>
          <w:sz w:val="20"/>
          <w:szCs w:val="20"/>
          <w:u w:val="single" w:color="auto"/>
          <w:color w:val="auto"/>
        </w:rPr>
        <w:t>Section 10.23</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2"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 Line Loans</w:t>
      </w:r>
      <w:r>
        <w:rPr>
          <w:rFonts w:ascii="Times New Roman" w:cs="Times New Roman" w:eastAsia="Times New Roman" w:hAnsi="Times New Roman"/>
          <w:sz w:val="20"/>
          <w:szCs w:val="20"/>
          <w:color w:val="auto"/>
        </w:rPr>
        <w:t xml:space="preserve">. If the reallocation described in </w:t>
      </w:r>
      <w:r>
        <w:rPr>
          <w:rFonts w:ascii="Times New Roman" w:cs="Times New Roman" w:eastAsia="Times New Roman" w:hAnsi="Times New Roman"/>
          <w:sz w:val="20"/>
          <w:szCs w:val="20"/>
          <w:u w:val="single" w:color="auto"/>
          <w:color w:val="auto"/>
        </w:rPr>
        <w:t>clause (a)(iv)</w:t>
      </w:r>
      <w:r>
        <w:rPr>
          <w:rFonts w:ascii="Times New Roman" w:cs="Times New Roman" w:eastAsia="Times New Roman" w:hAnsi="Times New Roman"/>
          <w:sz w:val="20"/>
          <w:szCs w:val="20"/>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Company, the Administrative Agent, Swing Line Lender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Company while such Lender was a Defaulting Lender;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2.18 Designated Lenders</w:t>
      </w:r>
      <w:r>
        <w:rPr>
          <w:rFonts w:ascii="Times New Roman" w:cs="Times New Roman" w:eastAsia="Times New Roman" w:hAnsi="Times New Roman"/>
          <w:sz w:val="20"/>
          <w:szCs w:val="20"/>
          <w:color w:val="auto"/>
        </w:rPr>
        <w:t>. Each of the Administrative Agent, the L/C Issuer and each Lender at its option may make any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or otherwise perform its obligations hereunder through any Lending Office (each, a “</w:t>
      </w:r>
      <w:r>
        <w:rPr>
          <w:rFonts w:ascii="Times New Roman" w:cs="Times New Roman" w:eastAsia="Times New Roman" w:hAnsi="Times New Roman"/>
          <w:sz w:val="20"/>
          <w:szCs w:val="20"/>
          <w:u w:val="single" w:color="auto"/>
          <w:color w:val="auto"/>
        </w:rPr>
        <w:t>Designated 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exercise of such option shall not affect the obligation of such Borrower to repay any Credit Extension in accordance with the terms of this Agreement. Any Designated Lender shall be considered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an Affiliate or branch of a Lender, all provisions applicable to a Lender shall apply to such Affiliate or branch of such Lender to the same extent as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only of voting in connection with any Loan Document, any participation by any Designated Lender in any outstanding Credit Extension shall be deemed a participation of such Lender.</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2.19 Sustainability Adjustments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54" w:lineRule="auto"/>
        <w:tabs>
          <w:tab w:leader="none" w:pos="1018"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After the Closing Date, Company, in consultation with the Sustainability Coordinator, shall be entitled to establish two (2) key performance indicators (individually, a “</w:t>
      </w:r>
      <w:r>
        <w:rPr>
          <w:rFonts w:ascii="Times New Roman" w:cs="Times New Roman" w:eastAsia="Times New Roman" w:hAnsi="Times New Roman"/>
          <w:sz w:val="20"/>
          <w:szCs w:val="20"/>
          <w:u w:val="single" w:color="auto"/>
          <w:color w:val="auto"/>
        </w:rPr>
        <w:t>KPI</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u w:val="single" w:color="auto"/>
          <w:color w:val="auto"/>
        </w:rPr>
        <w:t>KPIs</w:t>
      </w:r>
      <w:r>
        <w:rPr>
          <w:rFonts w:ascii="Times New Roman" w:cs="Times New Roman" w:eastAsia="Times New Roman" w:hAnsi="Times New Roman"/>
          <w:sz w:val="20"/>
          <w:szCs w:val="20"/>
          <w:color w:val="auto"/>
        </w:rPr>
        <w:t>”) with respect to certain environmental, social and governance (“</w:t>
      </w:r>
      <w:r>
        <w:rPr>
          <w:rFonts w:ascii="Times New Roman" w:cs="Times New Roman" w:eastAsia="Times New Roman" w:hAnsi="Times New Roman"/>
          <w:sz w:val="20"/>
          <w:szCs w:val="20"/>
          <w:u w:val="single" w:color="auto"/>
          <w:color w:val="auto"/>
        </w:rPr>
        <w:t>ESG</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2" w:name="page253"/>
    <w:bookmarkEnd w:id="252"/>
    <w:p>
      <w:pPr>
        <w:jc w:val="both"/>
        <w:spacing w:after="0" w:line="242" w:lineRule="auto"/>
        <w:rPr>
          <w:sz w:val="20"/>
          <w:szCs w:val="20"/>
          <w:color w:val="auto"/>
        </w:rPr>
      </w:pPr>
      <w:r>
        <w:rPr>
          <w:rFonts w:ascii="Times New Roman" w:cs="Times New Roman" w:eastAsia="Times New Roman" w:hAnsi="Times New Roman"/>
          <w:sz w:val="20"/>
          <w:szCs w:val="20"/>
          <w:color w:val="auto"/>
        </w:rPr>
        <w:t>targets of the Company and its Subsidiaries. The Sustainability Coordinator and Company may amend this Agreement (such amendment, an “</w:t>
      </w:r>
      <w:r>
        <w:rPr>
          <w:rFonts w:ascii="Times New Roman" w:cs="Times New Roman" w:eastAsia="Times New Roman" w:hAnsi="Times New Roman"/>
          <w:sz w:val="20"/>
          <w:szCs w:val="20"/>
          <w:u w:val="single" w:color="auto"/>
          <w:color w:val="auto"/>
        </w:rPr>
        <w:t>ESG Amendment</w:t>
      </w:r>
      <w:r>
        <w:rPr>
          <w:rFonts w:ascii="Times New Roman" w:cs="Times New Roman" w:eastAsia="Times New Roman" w:hAnsi="Times New Roman"/>
          <w:sz w:val="20"/>
          <w:szCs w:val="20"/>
          <w:color w:val="auto"/>
        </w:rPr>
        <w:t>”) solely for the purpose of incorporating the KPIs and the other related provisions (the “</w:t>
      </w:r>
      <w:r>
        <w:rPr>
          <w:rFonts w:ascii="Times New Roman" w:cs="Times New Roman" w:eastAsia="Times New Roman" w:hAnsi="Times New Roman"/>
          <w:sz w:val="20"/>
          <w:szCs w:val="20"/>
          <w:u w:val="single" w:color="auto"/>
          <w:color w:val="auto"/>
        </w:rPr>
        <w:t>ESG Pricing Provisions</w:t>
      </w:r>
      <w:r>
        <w:rPr>
          <w:rFonts w:ascii="Times New Roman" w:cs="Times New Roman" w:eastAsia="Times New Roman" w:hAnsi="Times New Roman"/>
          <w:sz w:val="20"/>
          <w:szCs w:val="20"/>
          <w:color w:val="auto"/>
        </w:rPr>
        <w:t>”) into this Agreement, and any such amendment shall become effective at 5:00 p.m., New York City time, on the tenth (10th) Business Day after the Administrative Agent shall have posted such proposed ESG Amendment to all Lenders and the Company unless, prior to such time, Lenders comprising the Required Lenders have delivered to the Administrative Agent (who shall promptly notify the Company) written notice that such Required Lenders object to such ESG Amendment. In the event that the Required Lenders deliver a written notice objecting to any such ESG Amendment, an alternative ESG Amendment may be effectuated with the consent of the Required Lenders, Company and the Sustainability Coordinator. Upon the effectiveness of any such ESG Amendment, based on the Company’s performance against the KPIs, certain adjustments (increase, decrease or no adjustment) to the otherwise applicable Commitment Fee, Applicable Rate for Base Rate Loans, Global Swing Line Loans, Term SOFR Loans, Alternative Currency Loans, and Letter of Credit Fees will be made as follows:</w:t>
      </w:r>
    </w:p>
    <w:p>
      <w:pPr>
        <w:spacing w:after="0" w:line="192"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(A)if both KPIs have been established and are met (x) the applicable Commitment Fee shall decrease by 0.01% and (y) the Applicable Rate for all Loans and Letter of Credit Fees shall decrease by 0.05%;</w:t>
      </w:r>
    </w:p>
    <w:p>
      <w:pPr>
        <w:spacing w:after="0" w:line="159" w:lineRule="exact"/>
        <w:rPr>
          <w:sz w:val="20"/>
          <w:szCs w:val="20"/>
          <w:color w:val="auto"/>
        </w:rPr>
      </w:pPr>
    </w:p>
    <w:p>
      <w:pPr>
        <w:ind w:left="2560" w:hanging="306"/>
        <w:spacing w:after="0"/>
        <w:tabs>
          <w:tab w:leader="none" w:pos="2560"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one KPI has been established and is met (x) the applicable Commitment Fee shall decrease by 0.005% and</w:t>
      </w:r>
    </w:p>
    <w:p>
      <w:pPr>
        <w:spacing w:after="0" w:line="33" w:lineRule="exact"/>
        <w:rPr>
          <w:rFonts w:ascii="Times New Roman" w:cs="Times New Roman" w:eastAsia="Times New Roman" w:hAnsi="Times New Roman"/>
          <w:sz w:val="19"/>
          <w:szCs w:val="19"/>
          <w:color w:val="auto"/>
        </w:rPr>
      </w:pPr>
    </w:p>
    <w:p>
      <w:pPr>
        <w:ind w:left="1780" w:hanging="275"/>
        <w:spacing w:after="0"/>
        <w:tabs>
          <w:tab w:leader="none" w:pos="1780" w:val="left"/>
        </w:tabs>
        <w:numPr>
          <w:ilvl w:val="0"/>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Rate for all Loans and Letter of Credit Fees shall decrease by 0.025%;</w:t>
      </w:r>
    </w:p>
    <w:p>
      <w:pPr>
        <w:spacing w:after="0" w:line="193" w:lineRule="exact"/>
        <w:rPr>
          <w:rFonts w:ascii="Times New Roman" w:cs="Times New Roman" w:eastAsia="Times New Roman" w:hAnsi="Times New Roman"/>
          <w:sz w:val="20"/>
          <w:szCs w:val="20"/>
          <w:color w:val="auto"/>
        </w:rPr>
      </w:pPr>
    </w:p>
    <w:p>
      <w:pPr>
        <w:ind w:left="1500" w:firstLine="754"/>
        <w:spacing w:after="0" w:line="269" w:lineRule="auto"/>
        <w:tabs>
          <w:tab w:leader="none" w:pos="254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one KPI has been established and is not met (x) the applicable Commitment Fee shall increase by 0.005% and (y) the Applicable Rate for all Loans and Letter of Credit Fees shall increase by 0.025%;</w:t>
      </w:r>
    </w:p>
    <w:p>
      <w:pPr>
        <w:spacing w:after="0" w:line="159" w:lineRule="exact"/>
        <w:rPr>
          <w:rFonts w:ascii="Times New Roman" w:cs="Times New Roman" w:eastAsia="Times New Roman" w:hAnsi="Times New Roman"/>
          <w:sz w:val="20"/>
          <w:szCs w:val="20"/>
          <w:color w:val="auto"/>
        </w:rPr>
      </w:pPr>
    </w:p>
    <w:p>
      <w:pPr>
        <w:ind w:left="1500" w:firstLine="754"/>
        <w:spacing w:after="0" w:line="269" w:lineRule="auto"/>
        <w:tabs>
          <w:tab w:leader="none" w:pos="2602"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both KPIs have been established and neither KPI is met (x) the applicable Commitment Fee shall increase by 0.01% and (y) the Applicable Rate for all Loans and Letter of Credit Fees shall increase by 0.05%; and</w:t>
      </w:r>
    </w:p>
    <w:p>
      <w:pPr>
        <w:spacing w:after="0" w:line="159" w:lineRule="exact"/>
        <w:rPr>
          <w:rFonts w:ascii="Times New Roman" w:cs="Times New Roman" w:eastAsia="Times New Roman" w:hAnsi="Times New Roman"/>
          <w:sz w:val="20"/>
          <w:szCs w:val="20"/>
          <w:color w:val="auto"/>
        </w:rPr>
      </w:pPr>
    </w:p>
    <w:p>
      <w:pPr>
        <w:ind w:left="1500" w:firstLine="754"/>
        <w:spacing w:after="0" w:line="269" w:lineRule="auto"/>
        <w:tabs>
          <w:tab w:leader="none" w:pos="2548" w:val="left"/>
        </w:tabs>
        <w:numPr>
          <w:ilvl w:val="1"/>
          <w:numId w:val="1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both KPIs have been established and only one KPI is met, no adjustments to the Commitment Fee or the Applicable Rate shall be made.</w:t>
      </w:r>
    </w:p>
    <w:p>
      <w:pPr>
        <w:spacing w:after="0" w:line="15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the foregoing, in no event shall the Commitment Fee or the Applicable Rate for any Loan or Letter of Credit Fee be less than zero. The pricing adjustments pursuant to the KPIs will require, among other things, reporting and validation of the measurement of the KPIs in a manner that is aligned with the Sustainability Linked Loan Principles and is to be agreed between Company and the Sustainability Coordinator (each acting reasonably).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Following the effectiveness of an ESG Amendment, any modification to the ESG Pricing Provisions shall be subject only to the consent of the Required Lenders so long as such modification does not have the effect of adjusting the Applicable Rate for Loans, Letter of Credit Fees, or the Commitment Fee to a level not otherwise permitted by this </w:t>
      </w:r>
      <w:r>
        <w:rPr>
          <w:rFonts w:ascii="Times New Roman" w:cs="Times New Roman" w:eastAsia="Times New Roman" w:hAnsi="Times New Roman"/>
          <w:sz w:val="20"/>
          <w:szCs w:val="20"/>
          <w:u w:val="single" w:color="auto"/>
          <w:color w:val="auto"/>
        </w:rPr>
        <w:t>Section 2.19(a)</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57"/>
        <w:spacing w:after="0" w:line="254" w:lineRule="auto"/>
        <w:tabs>
          <w:tab w:leader="none" w:pos="1018"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Sustainability Coordinator</w:t>
      </w:r>
      <w:r>
        <w:rPr>
          <w:rFonts w:ascii="Times New Roman" w:cs="Times New Roman" w:eastAsia="Times New Roman" w:hAnsi="Times New Roman"/>
          <w:sz w:val="20"/>
          <w:szCs w:val="20"/>
          <w:color w:val="auto"/>
        </w:rPr>
        <w:t>. The Sustainability Coordinator will (i) assist Company in determining the ESG Pricing Provisions in connection with the ESG Amendment and (ii) assist Company in preparing informational materials focused on ESG to be used in connection with the ESG Amendment.</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to the contrary.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TAXES, YIELD PROTECTION AND ILLEGALITY</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3.07 Taxes.</w:t>
      </w:r>
    </w:p>
    <w:p>
      <w:pPr>
        <w:spacing w:after="0" w:line="220" w:lineRule="exact"/>
        <w:rPr>
          <w:sz w:val="20"/>
          <w:szCs w:val="20"/>
          <w:color w:val="auto"/>
        </w:rPr>
      </w:pPr>
    </w:p>
    <w:p>
      <w:pPr>
        <w:jc w:val="both"/>
        <w:ind w:firstLine="757"/>
        <w:spacing w:after="0" w:line="245" w:lineRule="auto"/>
        <w:tabs>
          <w:tab w:leader="none" w:pos="101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 Obligation to Withhold; Payments on Account of Taxes</w:t>
      </w:r>
      <w:r>
        <w:rPr>
          <w:rFonts w:ascii="Times New Roman" w:cs="Times New Roman" w:eastAsia="Times New Roman" w:hAnsi="Times New Roman"/>
          <w:sz w:val="20"/>
          <w:szCs w:val="20"/>
          <w:color w:val="auto"/>
        </w:rPr>
        <w:t xml:space="preserve">. (i) Any and all payments by or on account of any obligation of the respective Loan Parties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any Loan Party, then the Administrative Agent or such Loan Party shall be entitled to make such deduction or withholding, upon the basis of the information and documentation to be delivered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Section.</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the Code or regulations thereunder to withhold or deduct any Taxes, including both United States Federal backup withholding and withholding taxes, from any payment and such Loan Party’s requirement to withhold or deduct such Taxes can be satisfied by the Administrative Agent making such withholding or deduction (as determined in good faith discretion of the Administrative Agent), then (A) the Loan Party or the Administrative Agent shall withhold or make such deductions, as are determined by the Loan Party or the Administrative Agent to be required taking into account the information and documentation it has received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Section, if any, (B) the Loan Party or the Administrative Agent shall timely pay the full amount withheld or deducted to the relevant Governmental Authority in accordance with the Code, and (C) to the extent that the withholding or deduction is made on account of Indemnified Taxes, the sum payable by such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48"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or the Administrative Agent shall be required by any applicable Laws to withhold or deduct any Taxes from any payment, other than Taxes described in </w:t>
      </w:r>
      <w:r>
        <w:rPr>
          <w:rFonts w:ascii="Times New Roman" w:cs="Times New Roman" w:eastAsia="Times New Roman" w:hAnsi="Times New Roman"/>
          <w:sz w:val="20"/>
          <w:szCs w:val="20"/>
          <w:u w:val="single" w:color="auto"/>
          <w:color w:val="auto"/>
        </w:rPr>
        <w:t>clause (a)(ii)</w:t>
      </w:r>
      <w:r>
        <w:rPr>
          <w:rFonts w:ascii="Times New Roman" w:cs="Times New Roman" w:eastAsia="Times New Roman" w:hAnsi="Times New Roman"/>
          <w:sz w:val="20"/>
          <w:szCs w:val="20"/>
          <w:color w:val="auto"/>
        </w:rPr>
        <w:t xml:space="preserve"> above, then (A) such Loan Party or the Administrative Agent, as required by such Laws, shall withhold or make such deductions, as are determined by the Administrative Agent to be required taking into account the information and documentation it has received pursuant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Section, (B) such Loan Party or the Administrative Agent, to the extent required by such Laws, shall timely pay the full amount so withheld or deducted to the relevant Governmental Authority in accordance with such Laws, and (C) to the extent that the withholding or deduction is made on account of Indemnified Taxes, the sum payable by such Loan Party shall be increased as necessary so that after any required withholding or the making of all required deductions (including deductions applicable to additional sums payable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the applicable Recipient receives an amount equal to the sum it would have received had no such withholding or deduction been made.</w:t>
      </w:r>
    </w:p>
    <w:p>
      <w:pPr>
        <w:spacing w:after="0" w:line="192"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xml:space="preserve">. Without limiting the provisions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each Loan Party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Tax Indemnifications</w:t>
      </w:r>
      <w:r>
        <w:rPr>
          <w:rFonts w:ascii="Times New Roman" w:cs="Times New Roman" w:eastAsia="Times New Roman" w:hAnsi="Times New Roman"/>
          <w:sz w:val="20"/>
          <w:szCs w:val="20"/>
          <w:color w:val="auto"/>
        </w:rPr>
        <w:t>. (i) Each of the Loan Parties shall, and does hereby, indemnify each Recipient, and shall make payment in respect thereof within 10 days after demand therefor, for the full amount of any Indemnified Taxes (including Indemnified Taxes imposed or asserted on or attributable to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4" w:name="page255"/>
    <w:bookmarkEnd w:id="254"/>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amounts payable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the L/C Issuer (with a copy to the Administrative Agent), or by the Administrative Agent on its own behalf or on behalf of a Lender or the L/C Issuer, shall be conclusive absent manifest error.</w:t>
      </w:r>
    </w:p>
    <w:p>
      <w:pPr>
        <w:spacing w:after="0" w:line="185" w:lineRule="exact"/>
        <w:rPr>
          <w:sz w:val="20"/>
          <w:szCs w:val="20"/>
          <w:color w:val="auto"/>
        </w:rPr>
      </w:pPr>
    </w:p>
    <w:p>
      <w:pPr>
        <w:jc w:val="both"/>
        <w:ind w:left="760" w:firstLine="745"/>
        <w:spacing w:after="0" w:line="241" w:lineRule="auto"/>
        <w:tabs>
          <w:tab w:leader="none" w:pos="2048"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and the L/C Issuer shall, and does hereby, severally indemnify, and shall make payment in respect thereof within 10 days after demand therefor, (x) the Administrative Agent against any Indemnified Taxes attributable to such Lender or the L/C Issuer (but only to the extent that any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Times New Roman" w:cs="Times New Roman" w:eastAsia="Times New Roman" w:hAnsi="Times New Roman"/>
          <w:sz w:val="20"/>
          <w:szCs w:val="20"/>
          <w:u w:val="single" w:color="auto"/>
          <w:color w:val="auto"/>
        </w:rPr>
        <w:t>Section 10.06(d)</w:t>
      </w:r>
      <w:r>
        <w:rPr>
          <w:rFonts w:ascii="Times New Roman" w:cs="Times New Roman" w:eastAsia="Times New Roman" w:hAnsi="Times New Roman"/>
          <w:sz w:val="20"/>
          <w:szCs w:val="20"/>
          <w:color w:val="auto"/>
        </w:rPr>
        <w:t xml:space="preserve"> relating to the maintenance of a Participant Register and (z) the Administrative Agent and the Borrowers, as applicable, against any Excluded Taxes attributable to such Lender or the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or otherwise payable by the Administrative Agent or a Borrower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Section 3.01(c)(ii)</w:t>
      </w:r>
      <w:r>
        <w:rPr>
          <w:rFonts w:ascii="Times New Roman" w:cs="Times New Roman" w:eastAsia="Times New Roman" w:hAnsi="Times New Roman"/>
          <w:sz w:val="20"/>
          <w:szCs w:val="20"/>
          <w:color w:val="auto"/>
        </w:rPr>
        <w:t>.</w:t>
      </w:r>
    </w:p>
    <w:p>
      <w:pPr>
        <w:spacing w:after="0" w:line="19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or by the Administrative Agent to a Governmental Authority as provided in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Loan Party shall deliver to the Administrative Agent or the Administrative Agent shall deliver to such Loan Party, as the case may be, the original or a certified copy of a receipt issued by such Governmental Authority evidencing such payment, a copy of any return required by Laws to report such payment or other evidence of such payment reasonably satisfactory to such Loan Party or the Administrative Agent, as the case may be.</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 Tax Documentation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760" w:hanging="3"/>
        <w:spacing w:after="0" w:line="242" w:lineRule="auto"/>
        <w:tabs>
          <w:tab w:leader="none" w:pos="1156"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 3.01(e)(ii)(A)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in the Lender’s reasonable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5" w:name="page256"/>
    <w:bookmarkEnd w:id="255"/>
    <w:p>
      <w:pPr>
        <w:spacing w:after="0" w:line="269" w:lineRule="auto"/>
        <w:rPr>
          <w:sz w:val="20"/>
          <w:szCs w:val="20"/>
          <w:color w:val="auto"/>
        </w:rPr>
      </w:pPr>
      <w:r>
        <w:rPr>
          <w:rFonts w:ascii="Times New Roman" w:cs="Times New Roman" w:eastAsia="Times New Roman" w:hAnsi="Times New Roman"/>
          <w:sz w:val="20"/>
          <w:szCs w:val="20"/>
          <w:color w:val="auto"/>
        </w:rPr>
        <w:t>judgment such completion, execution or submission would subject such Lender to any material unreimbursed cost or expense or would materially prejudice the legal or commercial position of such Lender.</w:t>
      </w:r>
    </w:p>
    <w:p>
      <w:pPr>
        <w:spacing w:after="0" w:line="159" w:lineRule="exact"/>
        <w:rPr>
          <w:sz w:val="20"/>
          <w:szCs w:val="20"/>
          <w:color w:val="auto"/>
        </w:rPr>
      </w:pPr>
    </w:p>
    <w:p>
      <w:pPr>
        <w:ind w:left="1280" w:hanging="535"/>
        <w:spacing w:after="0"/>
        <w:tabs>
          <w:tab w:leader="none" w:pos="1280" w:val="left"/>
        </w:tabs>
        <w:numPr>
          <w:ilvl w:val="0"/>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a Borrower is a U.S. Person,</w:t>
      </w:r>
    </w:p>
    <w:p>
      <w:pPr>
        <w:spacing w:after="0" w:line="216" w:lineRule="exact"/>
        <w:rPr>
          <w:sz w:val="20"/>
          <w:szCs w:val="20"/>
          <w:color w:val="auto"/>
        </w:rPr>
      </w:pPr>
    </w:p>
    <w:p>
      <w:pPr>
        <w:jc w:val="both"/>
        <w:ind w:left="740" w:firstLine="749"/>
        <w:spacing w:after="0" w:line="249" w:lineRule="auto"/>
        <w:rPr>
          <w:sz w:val="20"/>
          <w:szCs w:val="20"/>
          <w:color w:val="auto"/>
        </w:rPr>
      </w:pPr>
      <w:r>
        <w:rPr>
          <w:rFonts w:ascii="Times New Roman" w:cs="Times New Roman" w:eastAsia="Times New Roman" w:hAnsi="Times New Roman"/>
          <w:sz w:val="20"/>
          <w:szCs w:val="20"/>
          <w:color w:val="auto"/>
        </w:rPr>
        <w:t>(A)any Lender that is a U.S. Person shall deliver to the Company and the Administrative Agent on or prior to the date on which such Lender becomes a Lender under this Agreement (and from time to time thereafter upon the reasonable request of the Company on behalf of such Borrower or the Administrative Agent), executed originals of IRS Form W-9 certifying that such Lender is exempt from U.S. federal backup withholding tax;</w:t>
      </w:r>
    </w:p>
    <w:p>
      <w:pPr>
        <w:spacing w:after="0" w:line="180" w:lineRule="exact"/>
        <w:rPr>
          <w:sz w:val="20"/>
          <w:szCs w:val="20"/>
          <w:color w:val="auto"/>
        </w:rPr>
      </w:pPr>
    </w:p>
    <w:p>
      <w:pPr>
        <w:jc w:val="both"/>
        <w:ind w:left="740" w:firstLine="754"/>
        <w:spacing w:after="0" w:line="246" w:lineRule="auto"/>
        <w:tabs>
          <w:tab w:leader="none" w:pos="1788"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such Borrower or the Administrative Agent), whichever of the following is applicable:</w:t>
      </w:r>
    </w:p>
    <w:p>
      <w:pPr>
        <w:spacing w:after="0" w:line="184" w:lineRule="exact"/>
        <w:rPr>
          <w:rFonts w:ascii="Times New Roman" w:cs="Times New Roman" w:eastAsia="Times New Roman" w:hAnsi="Times New Roman"/>
          <w:sz w:val="20"/>
          <w:szCs w:val="20"/>
          <w:color w:val="auto"/>
        </w:rPr>
      </w:pPr>
    </w:p>
    <w:p>
      <w:pPr>
        <w:jc w:val="both"/>
        <w:ind w:left="740" w:firstLine="1503"/>
        <w:spacing w:after="0" w:line="244" w:lineRule="auto"/>
        <w:tabs>
          <w:tab w:leader="none" w:pos="2807"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may be applicable, in each case establishing an exemption from, or reduction of, U.S. federal withholding Tax pursuant to the “interest” article of such tax treaty and (y) with respect to any other applicable payments under any Loan Document, IRS Form W-8BEN or IRS Form W-8BEN-E, as may be applicable, in each case establishing an exemption from, or reduction of, U.S. federal withholding Tax pursuant to the “business profits” or “other income” article of such tax treaty;</w:t>
      </w:r>
    </w:p>
    <w:p>
      <w:pPr>
        <w:spacing w:after="0" w:line="186" w:lineRule="exact"/>
        <w:rPr>
          <w:sz w:val="20"/>
          <w:szCs w:val="20"/>
          <w:color w:val="auto"/>
        </w:rPr>
      </w:pPr>
    </w:p>
    <w:p>
      <w:pPr>
        <w:ind w:left="2820" w:hanging="577"/>
        <w:spacing w:after="0"/>
        <w:tabs>
          <w:tab w:leader="none" w:pos="2820" w:val="left"/>
        </w:tabs>
        <w:numPr>
          <w:ilvl w:val="0"/>
          <w:numId w:val="1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w:t>
      </w:r>
    </w:p>
    <w:p>
      <w:pPr>
        <w:spacing w:after="0" w:line="216" w:lineRule="exact"/>
        <w:rPr>
          <w:sz w:val="20"/>
          <w:szCs w:val="20"/>
          <w:color w:val="auto"/>
        </w:rPr>
      </w:pPr>
    </w:p>
    <w:p>
      <w:pPr>
        <w:jc w:val="both"/>
        <w:ind w:left="740" w:firstLine="1503"/>
        <w:spacing w:after="0" w:line="245" w:lineRule="auto"/>
        <w:tabs>
          <w:tab w:leader="none" w:pos="2807"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20"/>
          <w:szCs w:val="20"/>
          <w:u w:val="single" w:color="auto"/>
          <w:color w:val="auto"/>
        </w:rPr>
        <w:t>Exhibit K-1</w:t>
      </w:r>
      <w:r>
        <w:rPr>
          <w:rFonts w:ascii="Times New Roman" w:cs="Times New Roman" w:eastAsia="Times New Roman" w:hAnsi="Times New Roman"/>
          <w:sz w:val="20"/>
          <w:szCs w:val="20"/>
          <w:color w:val="auto"/>
        </w:rPr>
        <w:t xml:space="preserve"> to the effect that such Foreign Lender is not a “bank” within the meaning of Section 881(c)(3)(A) of the Code, a “10 percent shareholder” of any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executed originals of IRS Form W-8BEN or IRS Form W-8BEN-E, as may be applicable; or</w:t>
      </w:r>
    </w:p>
    <w:p>
      <w:pPr>
        <w:spacing w:after="0" w:line="184" w:lineRule="exact"/>
        <w:rPr>
          <w:sz w:val="20"/>
          <w:szCs w:val="20"/>
          <w:color w:val="auto"/>
        </w:rPr>
      </w:pPr>
    </w:p>
    <w:p>
      <w:pPr>
        <w:jc w:val="both"/>
        <w:ind w:left="740" w:firstLine="1498"/>
        <w:spacing w:after="0" w:line="244" w:lineRule="auto"/>
        <w:rPr>
          <w:sz w:val="20"/>
          <w:szCs w:val="20"/>
          <w:color w:val="auto"/>
        </w:rPr>
      </w:pPr>
      <w:r>
        <w:rPr>
          <w:rFonts w:ascii="Times New Roman" w:cs="Times New Roman" w:eastAsia="Times New Roman" w:hAnsi="Times New Roman"/>
          <w:sz w:val="20"/>
          <w:szCs w:val="20"/>
          <w:color w:val="auto"/>
        </w:rPr>
        <w:t xml:space="preserve">(IV) to the extent a Foreign Lender is not the beneficial owner, executed originals of IRS Form W-8IMY, accompanied by IRS Form W-8ECI, IRS Form W-8BEN, IRS Form W-8BEN-E, a U.S. Tax Compliance Certificate substantially in the form of </w:t>
      </w:r>
      <w:r>
        <w:rPr>
          <w:rFonts w:ascii="Times New Roman" w:cs="Times New Roman" w:eastAsia="Times New Roman" w:hAnsi="Times New Roman"/>
          <w:sz w:val="20"/>
          <w:szCs w:val="20"/>
          <w:u w:val="single" w:color="auto"/>
          <w:color w:val="auto"/>
        </w:rPr>
        <w:t>Exhibit K-2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K-3</w:t>
      </w:r>
      <w:r>
        <w:rPr>
          <w:rFonts w:ascii="Times New Roman" w:cs="Times New Roman" w:eastAsia="Times New Roman" w:hAnsi="Times New Roman"/>
          <w:sz w:val="20"/>
          <w:szCs w:val="20"/>
          <w:color w:val="auto"/>
        </w:rPr>
        <w:t xml:space="preserv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K-4</w:t>
      </w:r>
      <w:r>
        <w:rPr>
          <w:rFonts w:ascii="Times New Roman" w:cs="Times New Roman" w:eastAsia="Times New Roman" w:hAnsi="Times New Roman"/>
          <w:sz w:val="20"/>
          <w:szCs w:val="20"/>
          <w:color w:val="auto"/>
        </w:rPr>
        <w:t xml:space="preserve"> on behalf of each such direct and indirect partner;</w:t>
      </w: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616585</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256" w:name="page257"/>
    <w:bookmarkEnd w:id="256"/>
    <w:p>
      <w:pPr>
        <w:jc w:val="both"/>
        <w:ind w:left="1500" w:firstLine="754"/>
        <w:spacing w:after="0" w:line="244" w:lineRule="auto"/>
        <w:tabs>
          <w:tab w:leader="none" w:pos="2644"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left="1500" w:firstLine="754"/>
        <w:spacing w:after="0" w:line="242" w:lineRule="auto"/>
        <w:tabs>
          <w:tab w:leader="none" w:pos="2644" w:val="left"/>
        </w:tabs>
        <w:numPr>
          <w:ilvl w:val="2"/>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on behalf of such Borrower or the Administrative Agent such documentation prescribed by applicable law (including as prescribed by Section 1471(b)(3)(C)(i) of the Code) and such additional documentation reasonably requested by the Company on behalf of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if any form or certification it previously delivered pursuant to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174"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party determines, in its sole discretion exercised in good faith, that it has received a refund of any Taxes as to which it has been indemnified pursuant to this Section 3.01 (including by payment of additional amounts pursuant to this Section 3.01), it shall pay to the indemnifying party an amount equal to such refund (but only to the extent of indemnity payments made, or additional amounts paid, under this Section with respect to the Taxes giving rise to such refund), net of all out-of-pocket expenses (including Taxes) of such indemnified party and without interest (other than any interest paid by the relevant Governmental Authority with respect to such refund),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indemnifying party, upon the request of such indemnified party, shall repay to such indemnified party the amount paid over pursuant to this clause (f) (plus any penalties, interest or other charges imposed by the relevant Governmental Authority) in the event that such indemnified party is required to repay such refund to such Governmental Authority. Notwithstanding anything to the contrary in this clause, in no event will the indemnified party be required to pay any amount to any indemnifying party pursuant to this clause the payment of which would place the indemnified party in a less favorable net after-Tax position than such party would have been in if the Tax subject to indemnification and giving rise to such refund had not been deducted, withheld or otherwise imposed and the indemnification payments or additional amounts with respect to such Tax had never been paid. This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7" w:name="page258"/>
    <w:bookmarkEnd w:id="257"/>
    <w:p>
      <w:pPr>
        <w:ind w:right="20"/>
        <w:spacing w:after="0" w:line="269" w:lineRule="auto"/>
        <w:rPr>
          <w:sz w:val="20"/>
          <w:szCs w:val="20"/>
          <w:color w:val="auto"/>
        </w:rPr>
      </w:pPr>
      <w:r>
        <w:rPr>
          <w:rFonts w:ascii="Times New Roman" w:cs="Times New Roman" w:eastAsia="Times New Roman" w:hAnsi="Times New Roman"/>
          <w:sz w:val="20"/>
          <w:szCs w:val="20"/>
          <w:color w:val="auto"/>
        </w:rPr>
        <w:t>clause shall not be construed to require any indemnified party to make available its tax returns (or any other information relating to its Taxes that it deems confidential) to any indemnifying party or any other Person.</w:t>
      </w:r>
    </w:p>
    <w:p>
      <w:pPr>
        <w:spacing w:after="0" w:line="159" w:lineRule="exact"/>
        <w:rPr>
          <w:sz w:val="20"/>
          <w:szCs w:val="20"/>
          <w:color w:val="auto"/>
        </w:rPr>
      </w:pPr>
    </w:p>
    <w:p>
      <w:pPr>
        <w:jc w:val="both"/>
        <w:ind w:firstLine="757"/>
        <w:spacing w:after="0" w:line="254" w:lineRule="auto"/>
        <w:tabs>
          <w:tab w:leader="none" w:pos="101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of the L/C Issuer, the termination of the Commitments and the repayment, satisfaction or discharge of all other Obligations.</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the term “Lender” includes any L/C Issuer and the term “Applicable Law” includes FATCA.</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3.08 Illegality.</w:t>
      </w:r>
    </w:p>
    <w:p>
      <w:pPr>
        <w:spacing w:after="0" w:line="220" w:lineRule="exact"/>
        <w:rPr>
          <w:sz w:val="20"/>
          <w:szCs w:val="20"/>
          <w:color w:val="auto"/>
        </w:rPr>
      </w:pPr>
    </w:p>
    <w:p>
      <w:pPr>
        <w:jc w:val="both"/>
        <w:ind w:firstLine="757"/>
        <w:spacing w:after="0"/>
        <w:tabs>
          <w:tab w:leader="none" w:pos="1018" w:val="left"/>
        </w:tabs>
        <w:numPr>
          <w:ilvl w:val="1"/>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Lender determines that any Law has made it unlawful, or that any Governmental Authority has asserted that it is unlawful, for any Lender or its applicable Lending Office to make, maintain or fund or charge interest with respect to any Credit Extension, or to determine or charge interest rates based upon a Relevant Rate, or any Governmental Authority has imposed material restrictions on the authority of such Lender to determine or charge interest rates based upon a Relevant Rate purchase or sell, or to take deposits of, Dollars or any Alternative Currency in the applicable interbank market, then, upon notice thereof by such Lender to the Company (through the Administrative Agent), (i) any obligation of such Lender to make or continue Term SOFR Loans or make or maintain Alternative Currency Loans in the affected currency or currencies, to convert Base Rate Loans to Term SOFR Loans shall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(A) the Company shall, upon demand from such Lender (with a copy to the Administrative Agent), prepay all Term SOFR Loans or Alternative Currency Loans, as applicable in the affected currency or currencies or, if applicable, convert all Term SOFR Loans of such Lender to Base Rate Loans (the interest rate on which Base Rate Loans of such Lender shall, if necessary to avoid such illegality, be determined by the Administrative Agent without reference to the Term SOFR component of the Base Rate), in each case, immediately, or, in the case of Alternative Currency Term Rate Loans, on the last day of the Interest Period therefor, if such Lender may lawfully continue to maintain such Alternative Currency Term Rate Loans to such day, or immediately, if such Lender may not lawfully continue to maintain such Alternative Currency Term Rate Loans and (B)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Company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205" w:lineRule="exact"/>
        <w:rPr>
          <w:rFonts w:ascii="Times New Roman" w:cs="Times New Roman" w:eastAsia="Times New Roman" w:hAnsi="Times New Roman"/>
          <w:sz w:val="20"/>
          <w:szCs w:val="20"/>
          <w:color w:val="auto"/>
        </w:rPr>
      </w:pPr>
    </w:p>
    <w:p>
      <w:pPr>
        <w:jc w:val="both"/>
        <w:ind w:firstLine="757"/>
        <w:spacing w:after="0" w:line="260" w:lineRule="auto"/>
        <w:tabs>
          <w:tab w:leader="none" w:pos="1018"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in any applicable jurisdiction, the Administrative Agent, the L/C Issuer or any Lender or any Designated Lender determines that any Law has made it unlawful, or that any Governmental Authority has asserted that it is unlawful, for the Administrative Agent, the L/C Issuer or any Lender or its applicable Designated Lender to (i) perform any of its obligations hereunder or under any other Loan Document,</w:t>
      </w:r>
    </w:p>
    <w:p>
      <w:pPr>
        <w:jc w:val="both"/>
        <w:ind w:firstLine="8"/>
        <w:spacing w:after="0" w:line="242" w:lineRule="auto"/>
        <w:tabs>
          <w:tab w:leader="none" w:pos="309"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fund, hold a commitment or maintain its participation in any Loan or Letter of Credit or (iii) issue, make, maintain, fund or charge interest or fees with respect to any Credit Extension to any Designated Borrower who is organized under the laws of a jurisdiction other than the United States, a State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8" w:name="page259"/>
    <w:bookmarkEnd w:id="258"/>
    <w:p>
      <w:pPr>
        <w:jc w:val="both"/>
        <w:spacing w:after="0" w:line="243" w:lineRule="auto"/>
        <w:rPr>
          <w:sz w:val="20"/>
          <w:szCs w:val="20"/>
          <w:color w:val="auto"/>
        </w:rPr>
      </w:pPr>
      <w:r>
        <w:rPr>
          <w:rFonts w:ascii="Times New Roman" w:cs="Times New Roman" w:eastAsia="Times New Roman" w:hAnsi="Times New Roman"/>
          <w:sz w:val="20"/>
          <w:szCs w:val="20"/>
          <w:color w:val="auto"/>
        </w:rPr>
        <w:t>thereof or the District of Columbia such Person shall promptly notify the Administrative Agent, then, upon the Administrative Agent notifying the Company, and until such notice by such Person is revoked, any obligation of such Person to issue, make, maintain, fund or charge interest or fees with respect to any such Credit Extension shall be suspended, and to the extent required by applicable Law, cancelled. Upon receipt of such notice, the Loan Parties shall, (A) repay that Person’s participation in the Loans or other applicable Obligations on the last day of the Interest Period for each Loan or other Obligation occurring after the Administrative Agent has notified the Company or, if earlier, the date specified by such Person in the notice delivered to the Administrative Agent (being no earlier than the last day of any applicable grace period permitted by applicable Law), (B) to the extent applicable to the L/C Issuer, Cash Collateralize that portion of applicable L/C Obligations comprised of the aggregate undrawn amount of Letters of Credit to the extent not otherwise Cash Collateralized and (C) take all reasonable actions requested by such Person to mitigate or avoid such illegality.</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3.09 Inability to Determine Rates.</w:t>
      </w:r>
    </w:p>
    <w:p>
      <w:pPr>
        <w:spacing w:after="0" w:line="215" w:lineRule="exact"/>
        <w:rPr>
          <w:sz w:val="20"/>
          <w:szCs w:val="20"/>
          <w:color w:val="auto"/>
        </w:rPr>
      </w:pPr>
    </w:p>
    <w:p>
      <w:pPr>
        <w:jc w:val="both"/>
        <w:ind w:firstLine="577"/>
        <w:spacing w:after="0" w:line="245" w:lineRule="auto"/>
        <w:tabs>
          <w:tab w:leader="none" w:pos="1018"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Inability to Determine SOFR</w:t>
      </w:r>
      <w:r>
        <w:rPr>
          <w:rFonts w:ascii="Times New Roman" w:cs="Times New Roman" w:eastAsia="Times New Roman" w:hAnsi="Times New Roman"/>
          <w:sz w:val="21"/>
          <w:szCs w:val="21"/>
          <w:color w:val="auto"/>
        </w:rPr>
        <w:t xml:space="preserve">. If in connection with any request for a Term SOFR Loan or an Alternative Currency Loan or a conversion of Base Rate Loans to a Term SOFR Loan or an Alternative Currency Loan or a continuation of any of such Loans, as applicable, (i) the Administrative Agent determines (which determination shall be conclusive absent manifest error) that (A) no Successor Rate for the Relevant Rate for the applicable Agreed Currency has been determined in accordance with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 xml:space="preserve"> and the circumstances under clause (i) of </w:t>
      </w:r>
      <w:r>
        <w:rPr>
          <w:rFonts w:ascii="Times New Roman" w:cs="Times New Roman" w:eastAsia="Times New Roman" w:hAnsi="Times New Roman"/>
          <w:sz w:val="21"/>
          <w:szCs w:val="21"/>
          <w:u w:val="single" w:color="auto"/>
          <w:color w:val="auto"/>
        </w:rPr>
        <w:t>Section 3.03(b)</w:t>
      </w:r>
      <w:r>
        <w:rPr>
          <w:rFonts w:ascii="Times New Roman" w:cs="Times New Roman" w:eastAsia="Times New Roman" w:hAnsi="Times New Roman"/>
          <w:sz w:val="21"/>
          <w:szCs w:val="21"/>
          <w:color w:val="auto"/>
        </w:rPr>
        <w:t xml:space="preserve"> or of </w:t>
      </w:r>
      <w:r>
        <w:rPr>
          <w:rFonts w:ascii="Times New Roman" w:cs="Times New Roman" w:eastAsia="Times New Roman" w:hAnsi="Times New Roman"/>
          <w:sz w:val="21"/>
          <w:szCs w:val="21"/>
          <w:u w:val="single" w:color="auto"/>
          <w:color w:val="auto"/>
        </w:rPr>
        <w:t>Section 3.03(c)</w:t>
      </w:r>
      <w:r>
        <w:rPr>
          <w:rFonts w:ascii="Times New Roman" w:cs="Times New Roman" w:eastAsia="Times New Roman" w:hAnsi="Times New Roman"/>
          <w:sz w:val="21"/>
          <w:szCs w:val="21"/>
          <w:color w:val="auto"/>
        </w:rPr>
        <w:t xml:space="preserve"> or the Scheduled Unavailability Date, or the SOFR Scheduled Unavailability Date, has occurred with respect to such Relevant Rate (as applicable), or (B) adequate and reasonable means do not otherwise exist for determining the Relevant Rate for the applicable Agreed Currency for any determination date(s) or requested Interest Period, as applicable, with respect to a proposed Term SOFR Loan or an Alternative Currency Loan or in connection with an existing or proposed Base Rate Loan, or (ii) the Administrative Agent or the Required Lenders determine that for any reason that the Relevant Rate with respect to a proposed Loan denominated in an Agreed Currency for any requested Interest Period or determination date(s) does not adequately and fairly reflect the cost to such Lenders of funding such Loan, the Administrative Agent will promptly so notify the Company and each Lender.</w:t>
      </w:r>
    </w:p>
    <w:p>
      <w:pPr>
        <w:spacing w:after="0" w:line="174" w:lineRule="exact"/>
        <w:rPr>
          <w:sz w:val="20"/>
          <w:szCs w:val="20"/>
          <w:color w:val="auto"/>
        </w:rPr>
      </w:pPr>
    </w:p>
    <w:p>
      <w:pPr>
        <w:jc w:val="both"/>
        <w:ind w:left="1500" w:firstLine="943"/>
        <w:spacing w:after="0" w:line="246" w:lineRule="auto"/>
        <w:rPr>
          <w:sz w:val="20"/>
          <w:szCs w:val="20"/>
          <w:color w:val="auto"/>
        </w:rPr>
      </w:pPr>
      <w:r>
        <w:rPr>
          <w:rFonts w:ascii="Times New Roman" w:cs="Times New Roman" w:eastAsia="Times New Roman" w:hAnsi="Times New Roman"/>
          <w:sz w:val="20"/>
          <w:szCs w:val="20"/>
          <w:color w:val="010000"/>
        </w:rPr>
        <w:t>(a)</w:t>
      </w:r>
      <w:r>
        <w:rPr>
          <w:rFonts w:ascii="Times New Roman" w:cs="Times New Roman" w:eastAsia="Times New Roman" w:hAnsi="Times New Roman"/>
          <w:sz w:val="21"/>
          <w:szCs w:val="21"/>
          <w:color w:val="000000"/>
        </w:rPr>
        <w:t>Thereafter, (x) the obligation of the Lenders to make or maintain Term SOFR Loans or Loans in</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 xml:space="preserve">the affected currencies, as applicable, or to convert Base Rate Loans to Term SOFR Loans or Loans in the affected currencies, as applicable, shall be suspended in each case to the extent of the affected Term SOFR Loans,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21"/>
          <w:szCs w:val="21"/>
          <w:u w:val="single" w:color="auto"/>
          <w:color w:val="000000"/>
        </w:rPr>
        <w:t>Section 3.03(a)</w:t>
      </w:r>
      <w:r>
        <w:rPr>
          <w:rFonts w:ascii="Times New Roman" w:cs="Times New Roman" w:eastAsia="Times New Roman" w:hAnsi="Times New Roman"/>
          <w:sz w:val="21"/>
          <w:szCs w:val="21"/>
          <w:color w:val="000000"/>
        </w:rPr>
        <w:t>, until the Administrative Agent upon instruction of the Required Lenders) revokes such notice.</w:t>
      </w:r>
    </w:p>
    <w:p>
      <w:pPr>
        <w:spacing w:after="0" w:line="200" w:lineRule="exact"/>
        <w:rPr>
          <w:sz w:val="20"/>
          <w:szCs w:val="20"/>
          <w:color w:val="auto"/>
        </w:rPr>
      </w:pPr>
    </w:p>
    <w:p>
      <w:pPr>
        <w:spacing w:after="0" w:line="223" w:lineRule="exact"/>
        <w:rPr>
          <w:sz w:val="20"/>
          <w:szCs w:val="20"/>
          <w:color w:val="auto"/>
        </w:rPr>
      </w:pPr>
    </w:p>
    <w:p>
      <w:pPr>
        <w:ind w:left="1500" w:firstLine="754"/>
        <w:spacing w:after="0" w:line="258" w:lineRule="auto"/>
        <w:tabs>
          <w:tab w:leader="none" w:pos="2548" w:val="left"/>
        </w:tabs>
        <w:numPr>
          <w:ilvl w:val="0"/>
          <w:numId w:val="183"/>
        </w:numPr>
        <w:rPr>
          <w:rFonts w:ascii="Times New Roman" w:cs="Times New Roman" w:eastAsia="Times New Roman" w:hAnsi="Times New Roman"/>
          <w:sz w:val="20"/>
          <w:szCs w:val="20"/>
          <w:color w:val="010000"/>
        </w:rPr>
      </w:pPr>
      <w:r>
        <w:rPr>
          <w:rFonts w:ascii="Times New Roman" w:cs="Times New Roman" w:eastAsia="Times New Roman" w:hAnsi="Times New Roman"/>
          <w:sz w:val="22"/>
          <w:szCs w:val="22"/>
          <w:color w:val="auto"/>
        </w:rPr>
        <w:t>Upon receipt of such notice, (i) the Company may revoke any pending request for a Borrowing of, or conversion to Term SOFR Loans, or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9" w:name="page260"/>
    <w:bookmarkEnd w:id="259"/>
    <w:p>
      <w:pPr>
        <w:jc w:val="both"/>
        <w:ind w:left="1500"/>
        <w:spacing w:after="0" w:line="233" w:lineRule="auto"/>
        <w:rPr>
          <w:sz w:val="20"/>
          <w:szCs w:val="20"/>
          <w:color w:val="auto"/>
        </w:rPr>
      </w:pPr>
      <w:r>
        <w:rPr>
          <w:rFonts w:ascii="Times New Roman" w:cs="Times New Roman" w:eastAsia="Times New Roman" w:hAnsi="Times New Roman"/>
          <w:sz w:val="22"/>
          <w:szCs w:val="22"/>
          <w:color w:val="auto"/>
        </w:rPr>
        <w:t xml:space="preserve">Borrowing of, or continuation of Alternative Currency Loans to the extent of the affected Alternative Currency Loans or Interest Period or determination date(s), as applicable or, failing that, will be deemed to have converted such request into a request for a Borrowing of Base Rate Loans denominated in Dollars in the Dollar Equivalent of the amount of such Borrowing request and (ii)(A) any outstanding Term SOFR Loans shall be deemed to have been converted to Base Rate Loans immediately and (B) any outstanding affected Alternative Currency Loans, at the Company’s election, shall either (1) be converted into a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clause (1) above.</w:t>
      </w:r>
    </w:p>
    <w:p>
      <w:pPr>
        <w:spacing w:after="0" w:line="182" w:lineRule="exact"/>
        <w:rPr>
          <w:sz w:val="20"/>
          <w:szCs w:val="20"/>
          <w:color w:val="auto"/>
        </w:rPr>
      </w:pPr>
    </w:p>
    <w:p>
      <w:pPr>
        <w:jc w:val="both"/>
        <w:ind w:left="200" w:firstLine="749"/>
        <w:spacing w:after="0" w:line="249" w:lineRule="auto"/>
        <w:rPr>
          <w:sz w:val="20"/>
          <w:szCs w:val="20"/>
          <w:color w:val="auto"/>
        </w:rPr>
      </w:pPr>
      <w:r>
        <w:rPr>
          <w:rFonts w:ascii="Times New Roman" w:cs="Times New Roman" w:eastAsia="Times New Roman" w:hAnsi="Times New Roman"/>
          <w:sz w:val="20"/>
          <w:szCs w:val="20"/>
          <w:color w:val="auto"/>
        </w:rPr>
        <w:t>(b)</w:t>
      </w:r>
      <w:r>
        <w:rPr>
          <w:rFonts w:ascii="Times New Roman" w:cs="Times New Roman" w:eastAsia="Times New Roman" w:hAnsi="Times New Roman"/>
          <w:sz w:val="20"/>
          <w:szCs w:val="20"/>
          <w:u w:val="single" w:color="auto"/>
          <w:color w:val="auto"/>
        </w:rPr>
        <w:t>Replacement of Term SOFR or SOFR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ind w:left="760" w:right="20" w:firstLine="745"/>
        <w:spacing w:after="0" w:line="269" w:lineRule="auto"/>
        <w:tabs>
          <w:tab w:leader="none" w:pos="20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Term SOFR because the Term SOFR Screen Rate is not available or published on a current basis and such circumstances are unlikely to be temporary; or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one month interest period of Term SOFR or the Term SOFR Screen Rate shall or will no longer be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interest period of Term SOFR after such specific date (the latest date on which one month interest periods of Term SOFR or the Term SOFR Screen Rate are no longer available permanently or indefinitely, the “</w:t>
      </w:r>
      <w:r>
        <w:rPr>
          <w:rFonts w:ascii="Times New Roman" w:cs="Times New Roman" w:eastAsia="Times New Roman" w:hAnsi="Times New Roman"/>
          <w:sz w:val="20"/>
          <w:szCs w:val="20"/>
          <w:u w:val="single" w:color="auto"/>
          <w:color w:val="auto"/>
        </w:rPr>
        <w:t>SOFR Scheduled Unavailability Date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then, on a date and time determined by the Administrative Agent (any such date, the “</w:t>
      </w:r>
      <w:r>
        <w:rPr>
          <w:rFonts w:ascii="Times New Roman" w:cs="Times New Roman" w:eastAsia="Times New Roman" w:hAnsi="Times New Roman"/>
          <w:sz w:val="22"/>
          <w:szCs w:val="22"/>
          <w:u w:val="single" w:color="auto"/>
          <w:color w:val="auto"/>
        </w:rPr>
        <w:t>Term SOFR Replacement Date</w:t>
      </w:r>
      <w:r>
        <w:rPr>
          <w:rFonts w:ascii="Times New Roman" w:cs="Times New Roman" w:eastAsia="Times New Roman" w:hAnsi="Times New Roman"/>
          <w:sz w:val="22"/>
          <w:szCs w:val="22"/>
          <w:color w:val="auto"/>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plus the SOFR Adjustment for any payment period for interest calculated that can be determined by the Administrative Agent, in</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0" w:name="page261"/>
    <w:bookmarkEnd w:id="260"/>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each case, without any amendment to, or further action or consent of any other party to, this Agreement or any other Loan Document.</w:t>
      </w:r>
    </w:p>
    <w:p>
      <w:pPr>
        <w:spacing w:after="0" w:line="50" w:lineRule="exact"/>
        <w:rPr>
          <w:sz w:val="20"/>
          <w:szCs w:val="20"/>
          <w:color w:val="auto"/>
        </w:rPr>
      </w:pPr>
    </w:p>
    <w:p>
      <w:pPr>
        <w:ind w:right="580" w:firstLine="749"/>
        <w:spacing w:after="0" w:line="258" w:lineRule="auto"/>
        <w:rPr>
          <w:sz w:val="20"/>
          <w:szCs w:val="20"/>
          <w:color w:val="auto"/>
        </w:rPr>
      </w:pPr>
      <w:r>
        <w:rPr>
          <w:rFonts w:ascii="Times New Roman" w:cs="Times New Roman" w:eastAsia="Times New Roman" w:hAnsi="Times New Roman"/>
          <w:sz w:val="22"/>
          <w:szCs w:val="22"/>
          <w:color w:val="auto"/>
        </w:rPr>
        <w:t>If the Successor Rate is Daily Simple SOFR plus the SOFR Adjustment, all interest payments will be payable on a monthly basis.</w:t>
      </w:r>
    </w:p>
    <w:p>
      <w:pPr>
        <w:spacing w:after="0" w:line="50"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SOFR Successor Rate then in effect, then in each case, the Administrative Agent and the Company may amend this Agreement solely for the purpose of replacing Term SOFR or any then current Successor Rate in accordance with this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(and any such proposed rate, including for the avoidance of doubt, any adjustment thereto, a “</w:t>
      </w:r>
      <w:r>
        <w:rPr>
          <w:rFonts w:ascii="Times New Roman" w:cs="Times New Roman" w:eastAsia="Times New Roman" w:hAnsi="Times New Roman"/>
          <w:sz w:val="22"/>
          <w:szCs w:val="22"/>
          <w:u w:val="single" w:color="auto"/>
          <w:color w:val="auto"/>
        </w:rPr>
        <w:t>SOFR Successor Rate</w:t>
      </w:r>
      <w:r>
        <w:rPr>
          <w:rFonts w:ascii="Times New Roman" w:cs="Times New Roman" w:eastAsia="Times New Roman" w:hAnsi="Times New Roman"/>
          <w:sz w:val="22"/>
          <w:szCs w:val="22"/>
          <w:color w:val="auto"/>
        </w:rPr>
        <w:t>”).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76" w:lineRule="exact"/>
        <w:rPr>
          <w:sz w:val="20"/>
          <w:szCs w:val="20"/>
          <w:color w:val="auto"/>
        </w:rPr>
      </w:pPr>
    </w:p>
    <w:p>
      <w:pPr>
        <w:jc w:val="both"/>
        <w:ind w:left="200" w:firstLine="749"/>
        <w:spacing w:after="0" w:line="249" w:lineRule="auto"/>
        <w:rPr>
          <w:sz w:val="20"/>
          <w:szCs w:val="20"/>
          <w:color w:val="auto"/>
        </w:rPr>
      </w:pPr>
      <w:r>
        <w:rPr>
          <w:rFonts w:ascii="Times New Roman" w:cs="Times New Roman" w:eastAsia="Times New Roman" w:hAnsi="Times New Roman"/>
          <w:sz w:val="20"/>
          <w:szCs w:val="20"/>
          <w:color w:val="auto"/>
        </w:rPr>
        <w:t>(c)</w:t>
      </w:r>
      <w:r>
        <w:rPr>
          <w:rFonts w:ascii="Times New Roman" w:cs="Times New Roman" w:eastAsia="Times New Roman" w:hAnsi="Times New Roman"/>
          <w:sz w:val="20"/>
          <w:szCs w:val="20"/>
          <w:u w:val="single" w:color="auto"/>
          <w:color w:val="auto"/>
        </w:rPr>
        <w:t>Replacement of Relevant Rate or Successor Rate</w:t>
      </w:r>
      <w:r>
        <w:rPr>
          <w:rFonts w:ascii="Times New Roman" w:cs="Times New Roman" w:eastAsia="Times New Roman" w:hAnsi="Times New Roman"/>
          <w:sz w:val="20"/>
          <w:szCs w:val="20"/>
          <w:color w:val="auto"/>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spacing w:after="0" w:line="180" w:lineRule="exact"/>
        <w:rPr>
          <w:sz w:val="20"/>
          <w:szCs w:val="20"/>
          <w:color w:val="auto"/>
        </w:rPr>
      </w:pPr>
    </w:p>
    <w:p>
      <w:pPr>
        <w:jc w:val="both"/>
        <w:ind w:left="760" w:firstLine="745"/>
        <w:spacing w:after="0" w:line="254"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the Relevant Rate (other than Term SOFR) for an Agreed Currency (other than Dollars) because none of the tenors of such Relevant Rate (other than Term SOFR) under this Agreement is available or published on a current basis and such circumstances are unlikely to be temporary; or</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Authority has made a public statement identifying a specific date after which all tenors of the Relevant Rate (other than Term SOFR) for an Agreed Currency (other than Dollars) under this Agreement shall or will no longer be representative or made available, or permitted to be used for determining the interest rate of syndicated loans denominated in such Agreed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Agreed Currency (other than Dollars) (the latest date on which all tenors of the Relevant Rate for such Agreed Currency (other than Dollars) under this Agreement are no longer representative or available permanently or indefinitely, the “</w:t>
      </w:r>
      <w:r>
        <w:rPr>
          <w:rFonts w:ascii="Times New Roman" w:cs="Times New Roman" w:eastAsia="Times New Roman" w:hAnsi="Times New Roman"/>
          <w:sz w:val="20"/>
          <w:szCs w:val="20"/>
          <w:u w:val="single" w:color="auto"/>
          <w:color w:val="auto"/>
        </w:rPr>
        <w:t>Scheduled Unavailability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200"/>
        <w:spacing w:after="0" w:line="269" w:lineRule="auto"/>
        <w:rPr>
          <w:sz w:val="20"/>
          <w:szCs w:val="20"/>
          <w:color w:val="auto"/>
        </w:rPr>
      </w:pPr>
      <w:r>
        <w:rPr>
          <w:rFonts w:ascii="Times New Roman" w:cs="Times New Roman" w:eastAsia="Times New Roman" w:hAnsi="Times New Roman"/>
          <w:sz w:val="20"/>
          <w:szCs w:val="20"/>
          <w:color w:val="auto"/>
        </w:rPr>
        <w:t xml:space="preserve">or if the events or circumstances of the type described in </w:t>
      </w:r>
      <w:r>
        <w:rPr>
          <w:rFonts w:ascii="Times New Roman" w:cs="Times New Roman" w:eastAsia="Times New Roman" w:hAnsi="Times New Roman"/>
          <w:sz w:val="20"/>
          <w:szCs w:val="20"/>
          <w:u w:val="single" w:color="auto"/>
          <w:color w:val="auto"/>
        </w:rPr>
        <w:t>Section 3.03(c)(i)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have occurred with respect to the Non-SOFR Successor Rate for an Agreed Currency (other than Dollars) then in effect, then,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1" w:name="page262"/>
    <w:bookmarkEnd w:id="261"/>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Administrative Agent and the Company may amend this Agreement solely for the purpose of replacing the Relevant Rate for an Agreed Currency or any then current Successor Rate for an Agreed Currency in accordance with this </w:t>
      </w:r>
      <w:r>
        <w:rPr>
          <w:rFonts w:ascii="Times New Roman" w:cs="Times New Roman" w:eastAsia="Times New Roman" w:hAnsi="Times New Roman"/>
          <w:sz w:val="19"/>
          <w:szCs w:val="19"/>
          <w:u w:val="single" w:color="auto"/>
          <w:color w:val="auto"/>
        </w:rPr>
        <w:t>Section 3.03</w:t>
      </w:r>
      <w:r>
        <w:rPr>
          <w:rFonts w:ascii="Times New Roman" w:cs="Times New Roman" w:eastAsia="Times New Roman" w:hAnsi="Times New Roman"/>
          <w:sz w:val="19"/>
          <w:szCs w:val="19"/>
          <w:color w:val="auto"/>
        </w:rPr>
        <w:t xml:space="preserve"> with an alternative benchmark rate giving due consideration to any evolving or then existing convention for similar credit facilities syndicated and agented in the U.S. and denominated in such Agreed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Agreed Currency for such benchmarks (and any such proposed rate, including for the avoidance of doubt, any adjustment thereto, a “</w:t>
      </w:r>
      <w:r>
        <w:rPr>
          <w:rFonts w:ascii="Times New Roman" w:cs="Times New Roman" w:eastAsia="Times New Roman" w:hAnsi="Times New Roman"/>
          <w:sz w:val="19"/>
          <w:szCs w:val="19"/>
          <w:u w:val="single" w:color="auto"/>
          <w:color w:val="auto"/>
        </w:rPr>
        <w:t>Non-SOFR Successor Rate</w:t>
      </w:r>
      <w:r>
        <w:rPr>
          <w:rFonts w:ascii="Times New Roman" w:cs="Times New Roman" w:eastAsia="Times New Roman" w:hAnsi="Times New Roman"/>
          <w:sz w:val="19"/>
          <w:szCs w:val="19"/>
          <w:color w:val="auto"/>
        </w:rPr>
        <w:t>”, and collectively with the SOFR Successor Rate, each a “</w:t>
      </w:r>
      <w:r>
        <w:rPr>
          <w:rFonts w:ascii="Times New Roman" w:cs="Times New Roman" w:eastAsia="Times New Roman" w:hAnsi="Times New Roman"/>
          <w:sz w:val="19"/>
          <w:szCs w:val="19"/>
          <w:u w:val="single" w:color="auto"/>
          <w:color w:val="auto"/>
        </w:rPr>
        <w:t>Successor Rate</w:t>
      </w:r>
      <w:r>
        <w:rPr>
          <w:rFonts w:ascii="Times New Roman" w:cs="Times New Roman" w:eastAsia="Times New Roman" w:hAnsi="Times New Roman"/>
          <w:sz w:val="19"/>
          <w:szCs w:val="19"/>
          <w:color w:val="auto"/>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spacing w:after="0" w:line="181"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(d)</w:t>
      </w:r>
      <w:r>
        <w:rPr>
          <w:rFonts w:ascii="Times New Roman" w:cs="Times New Roman" w:eastAsia="Times New Roman" w:hAnsi="Times New Roman"/>
          <w:sz w:val="20"/>
          <w:szCs w:val="20"/>
          <w:u w:val="single" w:color="auto"/>
          <w:color w:val="auto"/>
        </w:rPr>
        <w:t>Successor Rate.</w:t>
      </w:r>
      <w:r>
        <w:rPr>
          <w:rFonts w:ascii="Times New Roman" w:cs="Times New Roman" w:eastAsia="Times New Roman" w:hAnsi="Times New Roman"/>
          <w:sz w:val="20"/>
          <w:szCs w:val="20"/>
          <w:color w:val="auto"/>
        </w:rPr>
        <w:t xml:space="preserve"> The Administrative Agent will promptly (in one or more notices) notify the Company and each Lender of the implementation of any Successor Rate.</w:t>
      </w:r>
    </w:p>
    <w:p>
      <w:pPr>
        <w:spacing w:after="0" w:line="159" w:lineRule="exact"/>
        <w:rPr>
          <w:sz w:val="20"/>
          <w:szCs w:val="20"/>
          <w:color w:val="auto"/>
        </w:rPr>
      </w:pPr>
    </w:p>
    <w:p>
      <w:pPr>
        <w:jc w:val="both"/>
        <w:ind w:firstLine="561"/>
        <w:spacing w:after="0" w:line="254" w:lineRule="auto"/>
        <w:rPr>
          <w:sz w:val="20"/>
          <w:szCs w:val="20"/>
          <w:color w:val="auto"/>
        </w:rPr>
      </w:pPr>
      <w:r>
        <w:rPr>
          <w:rFonts w:ascii="Times New Roman" w:cs="Times New Roman" w:eastAsia="Times New Roman" w:hAnsi="Times New Roman"/>
          <w:sz w:val="20"/>
          <w:szCs w:val="20"/>
          <w:color w:val="auto"/>
        </w:rPr>
        <w:t xml:space="preserve">Any Successor Rate shall be applied in a manner consistent with market practice;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market practice is not administratively feasible for the Administrative Agent, such Successor Rate shall be applied in a manner as otherwise reasonably determined by the Administrative Agent in consultation with the Company.</w:t>
      </w:r>
    </w:p>
    <w:p>
      <w:pPr>
        <w:spacing w:after="0" w:line="17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Notwithstanding anything else herein, if at any time any Successor Rate as so determined would otherwise be less than 0.0%, the Successor Rate will be deemed to be 0.0% for the purposes of this Agreement and the other Loan Documents.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such amendment effected, the Administrative Agent shall post each such amendment implementing such Conforming Changes to the Company and the Lenders reasonably promptly after such amendment becomes effective.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(e)For the purposes of this </w:t>
      </w:r>
      <w:r>
        <w:rPr>
          <w:rFonts w:ascii="Times New Roman" w:cs="Times New Roman" w:eastAsia="Times New Roman" w:hAnsi="Times New Roman"/>
          <w:sz w:val="20"/>
          <w:szCs w:val="20"/>
          <w:u w:val="single" w:color="auto"/>
          <w:color w:val="auto"/>
        </w:rPr>
        <w:t>Section 3.03</w:t>
      </w:r>
      <w:r>
        <w:rPr>
          <w:rFonts w:ascii="Times New Roman" w:cs="Times New Roman" w:eastAsia="Times New Roman" w:hAnsi="Times New Roman"/>
          <w:sz w:val="20"/>
          <w:szCs w:val="20"/>
          <w:color w:val="auto"/>
        </w:rPr>
        <w:t>, those Lenders that either have not made, or do not have an obligation under this Agreement to make, the relevant Loans in the relevant Alternative Currency shall be excluded from any determination of Required Lenders.</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3.10 Increased Costs.</w:t>
      </w:r>
    </w:p>
    <w:p>
      <w:pPr>
        <w:spacing w:after="0" w:line="220" w:lineRule="exact"/>
        <w:rPr>
          <w:sz w:val="20"/>
          <w:szCs w:val="20"/>
          <w:color w:val="auto"/>
        </w:rPr>
      </w:pPr>
    </w:p>
    <w:p>
      <w:pPr>
        <w:ind w:left="820" w:hanging="263"/>
        <w:spacing w:after="0"/>
        <w:tabs>
          <w:tab w:leader="none" w:pos="82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left="560" w:firstLine="745"/>
        <w:spacing w:after="0" w:line="254" w:lineRule="auto"/>
        <w:tabs>
          <w:tab w:leader="none" w:pos="1848"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special deposit, compulsory loan, insurance charge or similar requirement against assets of, deposits with or for the account of, or credit extended or participated in by, any Lender or the L/C Issuer;</w:t>
      </w:r>
    </w:p>
    <w:p>
      <w:pPr>
        <w:spacing w:after="0" w:line="174" w:lineRule="exact"/>
        <w:rPr>
          <w:rFonts w:ascii="Times New Roman" w:cs="Times New Roman" w:eastAsia="Times New Roman" w:hAnsi="Times New Roman"/>
          <w:sz w:val="20"/>
          <w:szCs w:val="20"/>
          <w:color w:val="auto"/>
        </w:rPr>
      </w:pPr>
    </w:p>
    <w:p>
      <w:pPr>
        <w:ind w:left="1840" w:hanging="535"/>
        <w:spacing w:after="0"/>
        <w:tabs>
          <w:tab w:leader="none" w:pos="184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any Recipient to any Taxes (other than (A) Indemnified Taxes, (B) Taxes described in </w:t>
      </w:r>
      <w:r>
        <w:rPr>
          <w:rFonts w:ascii="Times New Roman" w:cs="Times New Roman" w:eastAsia="Times New Roman" w:hAnsi="Times New Roman"/>
          <w:sz w:val="20"/>
          <w:szCs w:val="20"/>
          <w:u w:val="single" w:color="auto"/>
          <w:color w:val="auto"/>
        </w:rPr>
        <w:t>clauses (b)</w:t>
      </w:r>
      <w:r>
        <w:rPr>
          <w:rFonts w:ascii="Times New Roman" w:cs="Times New Roman" w:eastAsia="Times New Roman" w:hAnsi="Times New Roman"/>
          <w:sz w:val="20"/>
          <w:szCs w:val="20"/>
          <w:color w:val="auto"/>
        </w:rPr>
        <w:t xml:space="preserve"> through</w:t>
      </w:r>
    </w:p>
    <w:p>
      <w:pPr>
        <w:spacing w:after="0" w:line="21" w:lineRule="exact"/>
        <w:rPr>
          <w:rFonts w:ascii="Times New Roman" w:cs="Times New Roman" w:eastAsia="Times New Roman" w:hAnsi="Times New Roman"/>
          <w:sz w:val="20"/>
          <w:szCs w:val="20"/>
          <w:color w:val="auto"/>
        </w:rPr>
      </w:pPr>
    </w:p>
    <w:p>
      <w:pPr>
        <w:ind w:left="560" w:right="20" w:hanging="3"/>
        <w:spacing w:after="0" w:line="246" w:lineRule="auto"/>
        <w:tabs>
          <w:tab w:leader="none" w:pos="895" w:val="left"/>
        </w:tabs>
        <w:numPr>
          <w:ilvl w:val="0"/>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the definition of Excluded Taxes and (C) Connection Income Taxes) on its loans, loan principal, letters of credit, commitments, or other obligations, or its deposits, reserves, other liabilities or capital attributable thereto; or</w:t>
      </w:r>
    </w:p>
    <w:p>
      <w:pPr>
        <w:spacing w:after="0" w:line="200" w:lineRule="exact"/>
        <w:rPr>
          <w:sz w:val="20"/>
          <w:szCs w:val="20"/>
          <w:color w:val="auto"/>
        </w:rPr>
      </w:pPr>
    </w:p>
    <w:p>
      <w:pPr>
        <w:spacing w:after="0" w:line="23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616585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413" w:right="339" w:bottom="1440" w:gutter="0" w:footer="0" w:header="0"/>
        </w:sectPr>
      </w:pPr>
    </w:p>
    <w:bookmarkStart w:id="262" w:name="page263"/>
    <w:bookmarkEnd w:id="262"/>
    <w:p>
      <w:pPr>
        <w:jc w:val="both"/>
        <w:ind w:left="760" w:firstLine="745"/>
        <w:spacing w:after="0" w:line="254" w:lineRule="auto"/>
        <w:tabs>
          <w:tab w:leader="none" w:pos="204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L/C Issuer or any applicable interbank market any other condition, cost or expense (other than Taxes) affecting this Agreement or Term SOFR Loans or Alternative Currency Loans made by such Lender or any Letter of Credit or participation therein;</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or such other Recipient of making, converting to, continuing or maintaining any Loan the interest on which is determined by reference to Term SOFR (or of maintaining its obligation to make any such Loan), or to increase the cost to such Lender, the L/C Issuer, or such other Recipient of participating in, issuing or maintaining any Letter of Credit (or of maintaining its obligation to participate in or to issue any Letter of Credit), or to reduce the amount of any sum received or receivable by such Lender, the L/C Issuer, or other Recipient hereunder (whether of principal, interest or any other amount) then, upon request of such Lender, the L/C Issuer, or other Recipient, the Company will pay (or cause the applicable Designated Borrower to pay) to such Lender, the L/C Issuer, or other Recipient, as the case may be, such additional amount or amounts as will compensate such Lender, the L/C Issuer, or other Recipient, as the case may be, for such additional costs incurred or reduction suffered.</w:t>
      </w:r>
    </w:p>
    <w:p>
      <w:pPr>
        <w:spacing w:after="0" w:line="189" w:lineRule="exact"/>
        <w:rPr>
          <w:sz w:val="20"/>
          <w:szCs w:val="20"/>
          <w:color w:val="auto"/>
        </w:rPr>
      </w:pPr>
    </w:p>
    <w:p>
      <w:pPr>
        <w:jc w:val="both"/>
        <w:ind w:firstLine="757"/>
        <w:spacing w:after="0" w:line="242" w:lineRule="auto"/>
        <w:tabs>
          <w:tab w:leader="none" w:pos="1018"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and liquidity), then from time to time the Company will pay to such Lender or the L/C Issuer, as the case may be, such additional amount or amounts as will compensate such Lender or the L/C Issuer or such Lender’s or the L/C Issuer’s holding company for any such reduction suffered.</w:t>
      </w:r>
    </w:p>
    <w:p>
      <w:pPr>
        <w:spacing w:after="0" w:line="192" w:lineRule="exact"/>
        <w:rPr>
          <w:rFonts w:ascii="Times New Roman" w:cs="Times New Roman" w:eastAsia="Times New Roman" w:hAnsi="Times New Roman"/>
          <w:sz w:val="20"/>
          <w:szCs w:val="20"/>
          <w:color w:val="auto"/>
        </w:rPr>
      </w:pPr>
    </w:p>
    <w:p>
      <w:pPr>
        <w:jc w:val="both"/>
        <w:ind w:firstLine="757"/>
        <w:spacing w:after="0" w:line="266" w:lineRule="auto"/>
        <w:tabs>
          <w:tab w:leader="none" w:pos="101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Certificates for Reimbursement</w:t>
      </w:r>
      <w:r>
        <w:rPr>
          <w:rFonts w:ascii="Times New Roman" w:cs="Times New Roman" w:eastAsia="Times New Roman" w:hAnsi="Times New Roman"/>
          <w:sz w:val="19"/>
          <w:szCs w:val="19"/>
          <w:color w:val="auto"/>
        </w:rPr>
        <w:t xml:space="preserve">. A certificate of a Lender or the L/C Issuer setting forth the amount or amounts necessary to compensate such Lender or the L/C Issuer or its holding company, as the case may be, as specified in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of this Section and delivered to the Company shall be conclusive absent manifest error. The Company shall pay (or cause the applicable Designated Borrower to pay) such Lender or the L/C Issuer, as the case may be, the amount shown as due on any such certificate within 10 days after receipt thereof.</w:t>
      </w:r>
    </w:p>
    <w:p>
      <w:pPr>
        <w:spacing w:after="0" w:line="165" w:lineRule="exact"/>
        <w:rPr>
          <w:rFonts w:ascii="Times New Roman" w:cs="Times New Roman" w:eastAsia="Times New Roman" w:hAnsi="Times New Roman"/>
          <w:sz w:val="19"/>
          <w:szCs w:val="19"/>
          <w:color w:val="auto"/>
        </w:rPr>
      </w:pPr>
    </w:p>
    <w:p>
      <w:pPr>
        <w:jc w:val="both"/>
        <w:ind w:firstLine="757"/>
        <w:spacing w:after="0" w:line="259" w:lineRule="auto"/>
        <w:tabs>
          <w:tab w:leader="none" w:pos="1018" w:val="left"/>
        </w:tabs>
        <w:numPr>
          <w:ilvl w:val="0"/>
          <w:numId w:val="1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Delay in Requests</w:t>
      </w:r>
      <w:r>
        <w:rPr>
          <w:rFonts w:ascii="Times New Roman" w:cs="Times New Roman" w:eastAsia="Times New Roman" w:hAnsi="Times New Roman"/>
          <w:sz w:val="19"/>
          <w:szCs w:val="19"/>
          <w:color w:val="auto"/>
        </w:rPr>
        <w:t xml:space="preserve">. Failure or delay on the part of any Lender or the L/C Issuer to demand compensation pursuant to the foregoing provisions of this </w:t>
      </w:r>
      <w:r>
        <w:rPr>
          <w:rFonts w:ascii="Times New Roman" w:cs="Times New Roman" w:eastAsia="Times New Roman" w:hAnsi="Times New Roman"/>
          <w:sz w:val="19"/>
          <w:szCs w:val="19"/>
          <w:u w:val="single" w:color="auto"/>
          <w:color w:val="auto"/>
        </w:rPr>
        <w:t>Section 3.04</w:t>
      </w:r>
      <w:r>
        <w:rPr>
          <w:rFonts w:ascii="Times New Roman" w:cs="Times New Roman" w:eastAsia="Times New Roman" w:hAnsi="Times New Roman"/>
          <w:sz w:val="19"/>
          <w:szCs w:val="19"/>
          <w:color w:val="auto"/>
        </w:rPr>
        <w:t xml:space="preserve"> shall not constitute a waiver of such Lender’s or the L/C Issuer’s right to demand such compensation,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Borrower shall be required to compensate a Lender or the L/C Issuer pursuant to the foregoing provisions of this Section for any increased costs incurred or reductions suffered more than nine months prior to the date that such Lender or the L/C Issuer, as the case may be, notifies the Company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68"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3.11 Compensation for Losses. </w:t>
      </w:r>
      <w:r>
        <w:rPr>
          <w:rFonts w:ascii="Times New Roman" w:cs="Times New Roman" w:eastAsia="Times New Roman" w:hAnsi="Times New Roman"/>
          <w:sz w:val="20"/>
          <w:szCs w:val="20"/>
          <w:color w:val="auto"/>
        </w:rPr>
        <w:t>Upon demand of any Lender (with a copy to the Administrative Agent and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reasonably detailed calculation thereof) from time to time, the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3" w:name="page264"/>
    <w:bookmarkEnd w:id="263"/>
    <w:p>
      <w:pPr>
        <w:ind w:left="100"/>
        <w:spacing w:after="0" w:line="269" w:lineRule="auto"/>
        <w:rPr>
          <w:sz w:val="20"/>
          <w:szCs w:val="20"/>
          <w:color w:val="auto"/>
        </w:rPr>
      </w:pPr>
      <w:r>
        <w:rPr>
          <w:rFonts w:ascii="Times New Roman" w:cs="Times New Roman" w:eastAsia="Times New Roman" w:hAnsi="Times New Roman"/>
          <w:sz w:val="20"/>
          <w:szCs w:val="20"/>
          <w:color w:val="auto"/>
        </w:rPr>
        <w:t>Company shall promptly compensate (or cause the applicable Designated Borrower to compensate) such Lender for and hold such Lender harmless from any loss, cost or expense incurred by it as a result of:</w:t>
      </w:r>
    </w:p>
    <w:p>
      <w:pPr>
        <w:spacing w:after="0" w:line="159" w:lineRule="exact"/>
        <w:rPr>
          <w:sz w:val="20"/>
          <w:szCs w:val="20"/>
          <w:color w:val="auto"/>
        </w:rPr>
      </w:pPr>
    </w:p>
    <w:p>
      <w:pPr>
        <w:jc w:val="both"/>
        <w:ind w:firstLine="757"/>
        <w:spacing w:after="0" w:line="254" w:lineRule="auto"/>
        <w:tabs>
          <w:tab w:leader="none" w:pos="101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other than a Base Rate Loan on a day other than the last day of the Interest Period, relevant interest payment date or payment period, as applicable,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 or</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Term SOFR Loan or an Alternative Currency Term Rate Loan on a day other than the last day of the Interest Period therefor as a result of a request by the Company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any actual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purposes of calculating amounts payable by the Company (or the applicable Designated Borrower) to the Lenders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each Lender shall be deemed to have funded each Alternative Currency Term Rate Loan made by it at the Alternative Currency Term Rate Loan for such Loan by a matching deposit or other borrowing in the offshore interbank market for Dollars a comparable amount and for a comparable period, whether or not such Alternative Currency Term Rate Loan was in fact so funded.</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3.12 Mitigation Obligations; Replacement of Lenders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2" w:lineRule="auto"/>
        <w:tabs>
          <w:tab w:leader="none" w:pos="101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any Borrower is required to pay any Indemnified Taxes or additional amounts to any Lender, the L/C Issuer, or any Governmental Authority for the account of any Lender or the L/C Issuer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if any Lender gives a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then at the request of such Borrower such Lender or the L/C Issuer shall, as applicable, use reasonable efforts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as the case may be, in the future, or eliminate the need for the notice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as applicable, and (ii) in each case, would not subject such Lender or the L/C Issuer, as the case may be, to any unreimbursed cost or expense and would not otherwise be disadvantageous to such Lender or the L/C Issuer, as the case may be. The Company hereby agrees to pay (or to cause the applicable Designated Borrower to pay) all reasonable costs and expenses incurred by any Lender or the L/C Issuer in connection with any such designation or assignment.</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if any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3.01</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3.06(a),</w:t>
      </w:r>
      <w:r>
        <w:rPr>
          <w:rFonts w:ascii="Times New Roman" w:cs="Times New Roman" w:eastAsia="Times New Roman" w:hAnsi="Times New Roman"/>
          <w:sz w:val="20"/>
          <w:szCs w:val="20"/>
          <w:color w:val="auto"/>
        </w:rPr>
        <w:t xml:space="preserve"> the Company may replace such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provided that the new Lender is a Non-Public Lender.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4" w:name="page265"/>
    <w:bookmarkEnd w:id="264"/>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3.13 Survival</w:t>
      </w:r>
      <w:r>
        <w:rPr>
          <w:rFonts w:ascii="Times New Roman" w:cs="Times New Roman" w:eastAsia="Times New Roman" w:hAnsi="Times New Roman"/>
          <w:sz w:val="20"/>
          <w:szCs w:val="20"/>
          <w:color w:val="auto"/>
        </w:rPr>
        <w:t>. All of the obligations of the Borrowers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survive termination of the Aggregate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Commitments, repayment of all other Obligations hereunder, and resignation of the Administrative Agent.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 TO CREDIT EXTENSIONS</w:t>
      </w:r>
    </w:p>
    <w:p>
      <w:pPr>
        <w:spacing w:after="0" w:line="190"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4.07 Conditions of Initial Credit Extension</w:t>
      </w:r>
      <w:r>
        <w:rPr>
          <w:rFonts w:ascii="Times New Roman" w:cs="Times New Roman" w:eastAsia="Times New Roman" w:hAnsi="Times New Roman"/>
          <w:sz w:val="20"/>
          <w:szCs w:val="20"/>
          <w:color w:val="auto"/>
        </w:rPr>
        <w:t>. The obligation of the L/C Issuer and each Lender to make its initial Credit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Extension hereunder is subject to satisfaction of the following conditions precedent:</w:t>
      </w:r>
    </w:p>
    <w:p>
      <w:pPr>
        <w:spacing w:after="0" w:line="156" w:lineRule="exact"/>
        <w:rPr>
          <w:sz w:val="20"/>
          <w:szCs w:val="20"/>
          <w:color w:val="auto"/>
        </w:rPr>
      </w:pPr>
    </w:p>
    <w:p>
      <w:pPr>
        <w:jc w:val="both"/>
        <w:ind w:firstLine="757"/>
        <w:spacing w:after="0" w:line="254"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the following, each of which shall be originals or electronic copies of originals (followed promptly by originals) unless otherwise specified, each properly executed by a Responsible Officer of the signing Loan Party, each dated the Closing Date (or, in the case of certificates of governmental officials, a recent date before the Closing Date):</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counterparts of this Agreement, the Security Agreement, the Company Guaranty, the Subsidiary Guaranty, and each Note (to the extent any such Note has been requested at least two Business Days prior to the Closing Date);</w:t>
      </w:r>
    </w:p>
    <w:p>
      <w:pPr>
        <w:spacing w:after="0" w:line="15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Perfection Certificate for each of the Loan Parties;</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Committed Loan Notice with respect to the Loans to be made on the Closing Date;</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 certificate of each Loan Party, dated the Closing Date and executed by a secretary, assistant secretary or other Responsible Officer thereof, which shall (A) certify that attached thereto are (x) a true and complete copy of the certificate or articles of incorporation, formation or organization of such Loan Party certified by the relevant authority of its jurisdiction of organization, which certificate or articles of incorporation, formation or organization have not been amended (except as attached thereto) since the date reflected thereon, (y) a true and correct copy of the by-laws or operating, management, partnership or similar agreement of such Loan Party, together with all amendments thereto as of the Closing Date, which by-laws or operating, management, partnership or similar agreement are in full force and effect, and (z) a true and complete copy of the resolutions or written consent of its Board of Directors authorizing the execution and delivery of the Loan Documents, which resolutions or consent have not been modified, rescinded or amended (other than as attached thereto) and are in full force and effect, and (B) identify by name and title and bear the signatures of the officers, managers, directors or other authorized signatories of such Loan Party authorized to sign the Loan Documents to which such Loan Party is a party on the Closing Date and (ii) a good standing (or equivalent) certificate dated as of a recent date for each Loan Party from the relevant authority of its jurisdiction of organization; and</w:t>
      </w:r>
    </w:p>
    <w:p>
      <w:pPr>
        <w:spacing w:after="0" w:line="197"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customary opinion of Simpson Thacher &amp; Bartlett LLP, special New York counsel to the Loan Parties, addressed to the Administrative Agent and each Lender as of the Closing Date.</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Lenders shall have received from the Company an annual business plan and budget of the Company and its Subsidiaries on a consolidated basis, including forecasts prepared by management of the Company, in form satisfactory to the Administrative Agent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5" w:name="page266"/>
    <w:bookmarkEnd w:id="265"/>
    <w:p>
      <w:pPr>
        <w:spacing w:after="0" w:line="269" w:lineRule="auto"/>
        <w:rPr>
          <w:sz w:val="20"/>
          <w:szCs w:val="20"/>
          <w:color w:val="auto"/>
        </w:rPr>
      </w:pPr>
      <w:r>
        <w:rPr>
          <w:rFonts w:ascii="Times New Roman" w:cs="Times New Roman" w:eastAsia="Times New Roman" w:hAnsi="Times New Roman"/>
          <w:sz w:val="20"/>
          <w:szCs w:val="20"/>
          <w:color w:val="auto"/>
        </w:rPr>
        <w:t>the Lenders, of consolidated balance sheets and statements of income or operations and cash flows of the Company and its Subsidiaries on an annual basis for 2022, 2023, 2024, 2025 and 2026.</w:t>
      </w:r>
    </w:p>
    <w:p>
      <w:pPr>
        <w:spacing w:after="0" w:line="159" w:lineRule="exact"/>
        <w:rPr>
          <w:sz w:val="20"/>
          <w:szCs w:val="20"/>
          <w:color w:val="auto"/>
        </w:rPr>
      </w:pPr>
    </w:p>
    <w:p>
      <w:pPr>
        <w:ind w:left="1020" w:hanging="263"/>
        <w:spacing w:after="0"/>
        <w:tabs>
          <w:tab w:leader="none" w:pos="102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fees required to be paid on or before the Closing Date shall have been paid.</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the Arrangers shall have received all documentation and other information about any Loan Party that shall have been reasonably requested in writing by the Administrative Agent (including on behalf of the initial Lenders) or the Arrangers at least ten Business Days in advance of the Closing Date, which documentation or other information the Arrangers have reasonably determined is required by US regulatory authorities under applicable “know your customer” and anti-money laundering rules and regulations, including the USA PATRIOT Act.</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waived by the Administrative Agent, the Company shall have paid all fees, charges and disbursements of counsel to the Administrative Agent (directly to such counsel if requested by the Administrative Agent) to the extent invoiced at least two Business Days prior to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Company and the Administrative Agent).</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Without limiting the generality of the provisions of the last paragraph of </w:t>
      </w:r>
      <w:r>
        <w:rPr>
          <w:rFonts w:ascii="Times New Roman" w:cs="Times New Roman" w:eastAsia="Times New Roman" w:hAnsi="Times New Roman"/>
          <w:sz w:val="20"/>
          <w:szCs w:val="20"/>
          <w:u w:val="single" w:color="auto"/>
          <w:color w:val="auto"/>
        </w:rPr>
        <w:t>Section 9.03</w:t>
      </w:r>
      <w:r>
        <w:rPr>
          <w:rFonts w:ascii="Times New Roman" w:cs="Times New Roman" w:eastAsia="Times New Roman" w:hAnsi="Times New Roman"/>
          <w:sz w:val="20"/>
          <w:szCs w:val="20"/>
          <w:color w:val="auto"/>
        </w:rPr>
        <w:t xml:space="preserve">, for purposes of determining compliance with the conditions specified in this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81"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4.08 Conditions to all Credit Extensions. </w:t>
      </w:r>
      <w:r>
        <w:rPr>
          <w:rFonts w:ascii="Times New Roman" w:cs="Times New Roman" w:eastAsia="Times New Roman" w:hAnsi="Times New Roman"/>
          <w:sz w:val="20"/>
          <w:szCs w:val="20"/>
          <w:color w:val="auto"/>
        </w:rPr>
        <w:t>The obligation of each Lender to honor any Request for Credit Extension (other than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Committed Loan Notice requesting only a conversion of Committed Loans to the other Type, or a continuation of Term SOFR Loans or Alternative Currency Term Rate Loans) is subject to the following conditions precedent:</w:t>
      </w:r>
    </w:p>
    <w:p>
      <w:pPr>
        <w:spacing w:after="0" w:line="173" w:lineRule="exact"/>
        <w:rPr>
          <w:sz w:val="20"/>
          <w:szCs w:val="20"/>
          <w:color w:val="auto"/>
        </w:rPr>
      </w:pPr>
    </w:p>
    <w:p>
      <w:pPr>
        <w:jc w:val="both"/>
        <w:ind w:firstLine="757"/>
        <w:spacing w:after="0" w:line="243" w:lineRule="auto"/>
        <w:tabs>
          <w:tab w:leader="none" w:pos="10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(i) the Borrowers contained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and (ii) each Loan Party contained in each other Loan Document, shall (i) with respect to representations and warranties that contain a materiality qualification, be true and correct on and as of the date of such Credit Extension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(i) with respect to representations and warranties that contain a materiality qualification, be true and correct on and as of such earlier date and (ii) with respect to representations and warranties that do not contain a materiality qualification, be true and correct in all material respects on and as of such earlier date, and except that for purposes of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the representations and warranties contained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shall be deemed to refer to the most recent statements furnished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respectively,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shall exist, or would result from such proposed Credit Extension or the application of the proceeds thereof.</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and, if applicable, the L/C Issuer or the Swing Line Lender shall have received a Request for Credit Extension in accordance with the requirements hereof.</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6" w:name="page267"/>
    <w:bookmarkEnd w:id="266"/>
    <w:p>
      <w:pPr>
        <w:jc w:val="both"/>
        <w:ind w:firstLine="757"/>
        <w:spacing w:after="0" w:line="254" w:lineRule="auto"/>
        <w:tabs>
          <w:tab w:leader="none" w:pos="101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applicable Borrower is a Designated Borrower, then the conditions of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to the designation of such Borrower as a Designated Borrower shall have been met to the reasonable satisfaction of the Administrative Agent and any Lender, to the extent required by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Credit Extension to be denominated in an Alternative Currency, such currency remains an Eligible Currency.</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 xml:space="preserve">Both before and </w:t>
      </w:r>
      <w:r>
        <w:rPr>
          <w:rFonts w:ascii="Times New Roman" w:cs="Times New Roman" w:eastAsia="Times New Roman" w:hAnsi="Times New Roman"/>
          <w:sz w:val="20"/>
          <w:szCs w:val="20"/>
          <w:u w:val="single" w:color="auto"/>
          <w:color w:val="008000"/>
        </w:rPr>
        <w:t>after giving pro forma effect to</w:t>
      </w:r>
      <w:r>
        <w:rPr>
          <w:rFonts w:ascii="Times New Roman" w:cs="Times New Roman" w:eastAsia="Times New Roman" w:hAnsi="Times New Roman"/>
          <w:sz w:val="20"/>
          <w:szCs w:val="20"/>
          <w:u w:val="single" w:color="auto"/>
          <w:color w:val="0000FF"/>
        </w:rPr>
        <w:t xml:space="preserve"> such proposed Credit Extension (including the anticipated application of the proceeds thereof (as reasonably determined by the Company in good faith and detailed in the applicable Request for Credit Extension)), the aggregate amount of Unrestricted Cash of the Company and its Subsidiaries shall not exceed $70,000,000.</w:t>
      </w:r>
    </w:p>
    <w:p>
      <w:pPr>
        <w:spacing w:after="0" w:line="17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Request for Credit Extension (other than a Committed Loan Notice requesting only a conversion of Committed Loans to the other Type or a continuation of Term SOFR Loans or Alternative Currency Term Rate Loans) submitted by a Borrower shall be deemed to be a representation and warranty that the conditions specified in </w:t>
      </w:r>
      <w:r>
        <w:rPr>
          <w:rFonts w:ascii="Times New Roman" w:cs="Times New Roman" w:eastAsia="Times New Roman" w:hAnsi="Times New Roman"/>
          <w:sz w:val="20"/>
          <w:szCs w:val="20"/>
          <w:u w:val="single" w:color="auto"/>
          <w:color w:val="auto"/>
        </w:rPr>
        <w:t>Sections 4.02(a)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and (f)</w:t>
      </w:r>
      <w:r>
        <w:rPr>
          <w:rFonts w:ascii="Times New Roman" w:cs="Times New Roman" w:eastAsia="Times New Roman" w:hAnsi="Times New Roman"/>
          <w:sz w:val="20"/>
          <w:szCs w:val="20"/>
          <w:color w:val="auto"/>
        </w:rPr>
        <w:t xml:space="preserve"> have been satisfied on and as of the date of the applicable Credit Extension.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4100195</wp:posOffset>
            </wp:positionH>
            <wp:positionV relativeFrom="paragraph">
              <wp:posOffset>-231140</wp:posOffset>
            </wp:positionV>
            <wp:extent cx="21272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13">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Borrower represents and warrants to the Administrative Agent and the Lenders that:</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5.07 Organization and Power.</w:t>
      </w:r>
    </w:p>
    <w:p>
      <w:pPr>
        <w:spacing w:after="0" w:line="220" w:lineRule="exact"/>
        <w:rPr>
          <w:sz w:val="20"/>
          <w:szCs w:val="20"/>
          <w:color w:val="auto"/>
        </w:rPr>
      </w:pPr>
    </w:p>
    <w:p>
      <w:pPr>
        <w:jc w:val="both"/>
        <w:ind w:firstLine="757"/>
        <w:spacing w:after="0" w:line="245" w:lineRule="auto"/>
        <w:tabs>
          <w:tab w:leader="none" w:pos="101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(i) is duly organized, incorporated or established, validly existing and in good standing (to the extent such concept exists in such jurisdiction) under the laws of the jurisdiction of its formation, incorporation or establishment; (ii) has all requisite power to own or lease its assets and carry on its business as now conducted; (iii) is in good standing (where such concept exists in such jurisdiction) and is duly qualified to do business in every jurisdiction wherein the conduct of its business requires such qualification; except in each case referred to in clause (ii) and (iii) to the extent that failure to do so could not reasonably be expected to have a Material Adverse Effect; and (iv) has all requisite power to execute, deliver and perform each of the Loan Documents to which it is a party.</w:t>
      </w:r>
    </w:p>
    <w:p>
      <w:pPr>
        <w:spacing w:after="0" w:line="184"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any case, as could not reasonably be expected to have a Material Adverse Effect, each Subsidiary of the Company which is not a Loan Party (other than Excluded Subsidiaries) (i) is duly organized, incorporated or established, validly existing and in good standing (to the extent such concept exists in such jurisdiction) under the laws of the jurisdiction of its formation, incorporation or establishment; (ii) has all requisite power and authority to own or lease its properties and to carry on its business; and (iii) is duly qualified to do business in every jurisdiction wherein the conduct of its business or the ownership of its properties are such as to require such qualification.</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5.08 Authorization; Enforceable Obligations.</w:t>
      </w:r>
    </w:p>
    <w:p>
      <w:pPr>
        <w:spacing w:after="0" w:line="220" w:lineRule="exact"/>
        <w:rPr>
          <w:sz w:val="20"/>
          <w:szCs w:val="20"/>
          <w:color w:val="auto"/>
        </w:rPr>
      </w:pPr>
    </w:p>
    <w:p>
      <w:pPr>
        <w:jc w:val="both"/>
        <w:ind w:firstLine="757"/>
        <w:spacing w:after="0" w:line="245" w:lineRule="auto"/>
        <w:tabs>
          <w:tab w:leader="none" w:pos="101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by each Loan Party of each Loan Document to which such Person is a party, the Borrowings and the other extensions of credit to the Borrowers hereunder, and the execution, delivery and performance by each Subsidiary Guarantor of the Loan Documents to which such Subsidiary Guarantor is a party, (i) have been duly authorized by all requisite corporate, limited partnership or limited liability company action, (ii) will not violate or require any consent (other than consents as have been made or obtained and which are in full force and effect) under (A) any provision of Law applicable to such Loan Party, or the Organization Documents of such Loan Party or (B) any order of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7" w:name="page268"/>
    <w:bookmarkEnd w:id="267"/>
    <w:p>
      <w:pPr>
        <w:jc w:val="both"/>
        <w:spacing w:after="0" w:line="246" w:lineRule="auto"/>
        <w:rPr>
          <w:sz w:val="20"/>
          <w:szCs w:val="20"/>
          <w:color w:val="auto"/>
        </w:rPr>
      </w:pPr>
      <w:r>
        <w:rPr>
          <w:rFonts w:ascii="Times New Roman" w:cs="Times New Roman" w:eastAsia="Times New Roman" w:hAnsi="Times New Roman"/>
          <w:sz w:val="20"/>
          <w:szCs w:val="20"/>
          <w:color w:val="auto"/>
        </w:rPr>
        <w:t>any court or other Governmental Authority binding on such Loan Party or any indenture, agreement or other instrument to which such Loan Party is a party, or by which such Loan Party or any of its property is bound and (iii) will not be in conflict with, result in a breach of or constitute (with due notice and/or lapse of time) a default under any such indenture, agreement or other instrument, which conflict, breach or default could reasonably be expected to have a Material Adverse Effect, or result in the creation or imposition of any Lien of any nature whatsoever upon any of the property or assets of such Loan Party other than as contemplated by the Loan Documents.</w:t>
      </w:r>
    </w:p>
    <w:p>
      <w:pPr>
        <w:spacing w:after="0" w:line="185" w:lineRule="exact"/>
        <w:rPr>
          <w:sz w:val="20"/>
          <w:szCs w:val="20"/>
          <w:color w:val="auto"/>
        </w:rPr>
      </w:pPr>
    </w:p>
    <w:p>
      <w:pPr>
        <w:jc w:val="both"/>
        <w:ind w:firstLine="757"/>
        <w:spacing w:after="0" w:line="246" w:lineRule="auto"/>
        <w:tabs>
          <w:tab w:leader="none" w:pos="1018"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other Loan Document to which each Loan Party is a party has, in each case, been duly executed and delivered by such Loan Party, and constitutes a legal, valid and binding obligation of such Loan Party, enforceable against it in accordance with its terms, except to the extent that enforcement may be limited by applicable bankruptcy, reorganization, moratorium, insolvency and similar laws affecting creditors’ rights generally or by equitable principles of general application, regardless of whether considered in a proceeding in equity or at law.</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5.09 Financial Condition; No Material Adverse Effect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9" w:lineRule="auto"/>
        <w:tabs>
          <w:tab w:leader="none" w:pos="101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heretofore furnished to each Lender the Audited Financial Statements. The Audited Financial Statements were prepared in conformity with GAAP, except as otherwise expressly indicated therein, including the notes thereto, and such financial statements fairly present in all material respects the consolidated financial condition and consolidated results of operations of the Company and its Subsidiaries as of the date of such financial statements and for the periods to which they relate.</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the date of the Audited Financial Statements, there has been no event or circumstance, either individually or in the aggregate, that has had or would reasonably be expected to have a Material Adverse Effect.</w:t>
      </w:r>
    </w:p>
    <w:p>
      <w:pPr>
        <w:spacing w:after="0" w:line="159"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1"/>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financial projections delivered pursuant to </w:t>
      </w:r>
      <w:r>
        <w:rPr>
          <w:rFonts w:ascii="Times New Roman" w:cs="Times New Roman" w:eastAsia="Times New Roman" w:hAnsi="Times New Roman"/>
          <w:sz w:val="19"/>
          <w:szCs w:val="19"/>
          <w:u w:val="single" w:color="auto"/>
          <w:color w:val="auto"/>
        </w:rPr>
        <w:t>Section 6.01(c)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color w:val="FF0000"/>
          <w:strike w:val="1"/>
        </w:rPr>
        <w:t>were</w:t>
      </w:r>
      <w:r>
        <w:rPr>
          <w:rFonts w:ascii="Times New Roman" w:cs="Times New Roman" w:eastAsia="Times New Roman" w:hAnsi="Times New Roman"/>
          <w:sz w:val="19"/>
          <w:szCs w:val="19"/>
          <w:u w:val="single" w:color="auto"/>
          <w:color w:val="0000FF"/>
        </w:rPr>
        <w:t>and the business plan delivered pursuant to Section 6.01(d)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0000FF"/>
        </w:rPr>
        <w:t>were, in each case,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prepared in good faith on the basis of the assumptions stated therein, which assumptions were reasonable in light of the</w:t>
      </w:r>
      <w:r>
        <w:rPr>
          <w:rFonts w:ascii="Times New Roman" w:cs="Times New Roman" w:eastAsia="Times New Roman" w:hAnsi="Times New Roman"/>
          <w:sz w:val="19"/>
          <w:szCs w:val="19"/>
          <w:color w:val="0000FF"/>
        </w:rPr>
        <w:t xml:space="preserve"> </w:t>
      </w:r>
      <w:r>
        <w:rPr>
          <w:rFonts w:ascii="Times New Roman" w:cs="Times New Roman" w:eastAsia="Times New Roman" w:hAnsi="Times New Roman"/>
          <w:sz w:val="19"/>
          <w:szCs w:val="19"/>
          <w:color w:val="000000"/>
        </w:rPr>
        <w:t>conditions existing at the time of delivery of such forecasts, and represented, at the time of delivery, the Company’s reasonable estimate of its future financial condition and performance; it being understood that (i) such forecasted balance sheets, statements of income and cash flows</w:t>
      </w:r>
    </w:p>
    <w:p>
      <w:pPr>
        <w:jc w:val="both"/>
        <w:ind w:firstLine="8"/>
        <w:spacing w:after="0" w:line="241" w:lineRule="auto"/>
        <w:tabs>
          <w:tab w:leader="none" w:pos="327"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are as to future events and are not to be viewed as facts and (B) are subject to significant uncertainties and contingencies, many of which are beyond the control of the Company and its Subsidiaries, and (ii) no assurance can be given that any particular projections contained in such forecasted balance sheets, statements of income or cash flows will be realized and that actual results during the period or periods covered thereby may differ significantly from the projected results and such differences may be material.</w:t>
      </w:r>
    </w:p>
    <w:p>
      <w:pPr>
        <w:spacing w:after="0" w:line="188"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Closing Date, the Company and its Subsidiaries (on a consolidated basis) are, Solvent.</w:t>
      </w:r>
    </w:p>
    <w:p>
      <w:pPr>
        <w:spacing w:after="0" w:line="212"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5.10 Taxes. </w:t>
      </w:r>
      <w:r>
        <w:rPr>
          <w:rFonts w:ascii="Times New Roman" w:cs="Times New Roman" w:eastAsia="Times New Roman" w:hAnsi="Times New Roman"/>
          <w:sz w:val="20"/>
          <w:szCs w:val="20"/>
          <w:color w:val="auto"/>
        </w:rPr>
        <w:t>The Company and each Subsidiary has filed all federal, and other material state, provincial and other tax returns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reports required to be filed, and the Company and each Subsidiary has paid all federal and other material, state, provincial and other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Company or any Subsidiary that would, if made, have a Material Adverse Effect, nor is there any tax sharing agreement applicable to the Company or any Subsidiary.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5.11 Title to Properties. </w:t>
      </w:r>
      <w:r>
        <w:rPr>
          <w:rFonts w:ascii="Times New Roman" w:cs="Times New Roman" w:eastAsia="Times New Roman" w:hAnsi="Times New Roman"/>
          <w:sz w:val="20"/>
          <w:szCs w:val="20"/>
          <w:color w:val="auto"/>
        </w:rPr>
        <w:t>The Company and each Subsidiary has good title to its respective properties and assets reflected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financial statements referred to in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except for such properties and assets as have been disposed of since the date of such financial statements as no longer used or useful in the conduct of their respective businesses or as have been disposed of in the ordinary course of business and except as could not reasonably be expected to have a Material Adverse Effect, and all such properties and assets are free and clear of all Liens other than Permitted Liens.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5.12 Litigation.</w:t>
      </w:r>
    </w:p>
    <w:p>
      <w:pPr>
        <w:spacing w:after="0" w:line="220" w:lineRule="exact"/>
        <w:rPr>
          <w:sz w:val="20"/>
          <w:szCs w:val="20"/>
          <w:color w:val="auto"/>
        </w:rPr>
      </w:pPr>
    </w:p>
    <w:p>
      <w:pPr>
        <w:jc w:val="both"/>
        <w:ind w:firstLine="757"/>
        <w:spacing w:after="0" w:line="249" w:lineRule="auto"/>
        <w:tabs>
          <w:tab w:leader="none" w:pos="101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pending or, to the knowledge of the Company, threatened against or affecting the Company or any such Subsidiary or against any of their properties or assets at law, in equity, in arbitration or before or by any Governmental Authority, which involve any of the transactions contemplated herein or which could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Subsidiary is in default with respect to or has breached or otherwise violated any judgment, writ, injunction, decree, rule or regulation of any Governmental Authority binding on such Person which could reasonably be expected to result in a Material Adverse Effect.</w:t>
      </w:r>
    </w:p>
    <w:p>
      <w:pPr>
        <w:spacing w:after="0" w:line="17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5.13 Agreements. </w:t>
      </w:r>
      <w:r>
        <w:rPr>
          <w:rFonts w:ascii="Times New Roman" w:cs="Times New Roman" w:eastAsia="Times New Roman" w:hAnsi="Times New Roman"/>
          <w:sz w:val="20"/>
          <w:szCs w:val="20"/>
          <w:color w:val="auto"/>
        </w:rPr>
        <w:t>Neither the Company nor any Subsidiary is in default in the performance, observance or fulfillment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Contractual Obligation to which such Person is a party or affecting such Person or the properties of such Person, which default could reasonably be expected to have a Material Adverse Effect.</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5.14 ERISA Compliance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4" w:lineRule="auto"/>
        <w:tabs>
          <w:tab w:leader="none" w:pos="101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(i) each Plan is in compliance in all material respects with the applicable provisions of ERISA, the Code and other Federal or state laws and (ii) each Pension Plan that is intended to be a qualified plan under Section 401(a) of the Code has received a favorable determination letter from the Internal Revenue Service or is covered by an opinion letter to the effect that the form of such Plan is qualified under Section 401(a) of the Code and the trust related thereto has been determined by the Internal Revenue Service to be exempt from federal income tax under Section 501(a) of the Code, or an application for such a letter is currently being processed by the Internal Revenue Service. To the best knowledge of the Company, nothing has occurred that would prevent or cause the loss of such tax-qualified status.</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7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(i) no ERISA Event has occurred, and neither the Company nor any ERISA Affiliate is aware of any fact, event or circumstance that could reasonably be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other than with respect to any Exempted ERISA Subsidiary and its Pension Plans in existence at the time it becomes a Subsidiary, as of the most recent valuation date for any Pension Plan, the funding target attainment percentage (as defined in Section 430(d)(2) of the Code) is 60% or higher and neither the Company nor any ERISA Affiliate knows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69" w:name="page270"/>
    <w:bookmarkEnd w:id="269"/>
    <w:p>
      <w:pPr>
        <w:jc w:val="both"/>
        <w:spacing w:after="0" w:line="245" w:lineRule="auto"/>
        <w:rPr>
          <w:sz w:val="20"/>
          <w:szCs w:val="20"/>
          <w:color w:val="auto"/>
        </w:rPr>
      </w:pPr>
      <w:r>
        <w:rPr>
          <w:rFonts w:ascii="Times New Roman" w:cs="Times New Roman" w:eastAsia="Times New Roman" w:hAnsi="Times New Roman"/>
          <w:sz w:val="20"/>
          <w:szCs w:val="20"/>
          <w:color w:val="auto"/>
        </w:rPr>
        <w:t>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84" w:lineRule="exact"/>
        <w:rPr>
          <w:sz w:val="20"/>
          <w:szCs w:val="20"/>
          <w:color w:val="auto"/>
        </w:rPr>
      </w:pPr>
    </w:p>
    <w:p>
      <w:pPr>
        <w:ind w:firstLine="757"/>
        <w:spacing w:after="0" w:line="269"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ERISA Affiliate maintains or contributes to, or has any unsatisfied obligation to contribute to, or liability under, any active or terminated Pension Plan.</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neither the Company nor any ERISA Affiliate is or will be using “plan assets” (within the meaning of 29 CFR § 2510.3-101, as modified by Section 3(42) of ERISA) of one or more Benefit Plans in connection with the Loans, the Letters of Credit or the Commitments.</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5.15 Margin Regulations; Investment Company Act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54" w:lineRule="auto"/>
        <w:tabs>
          <w:tab w:leader="none" w:pos="101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Subsidiary is engaged nor will it engage, principally or as one of its important activities, in the business of purchasing or carrying margin stock (within the meaning of Regulation U issued by the FRB), or extending credit for the purpose of purchasing or carrying margin stock.</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proceeds of each Loan and each other Credit Extension shall be used solely for the purposes permitted under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and no part of any such the proceeds will be used, whether directly or indirectly, and whether immediately, incidentally or ultimately, to purchase or to carry margin stock or to extend credit to others for the purpose of purchasing or carrying margin stock, or to refund indebtedness originally incurred for such purposes.</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other Loan Party is or is required to be registered as an “investment company” under the Investment Company Act of 1940.</w:t>
      </w:r>
    </w:p>
    <w:p>
      <w:pPr>
        <w:spacing w:after="0" w:line="155"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5.16 Approvals. </w:t>
      </w:r>
      <w:r>
        <w:rPr>
          <w:rFonts w:ascii="Times New Roman" w:cs="Times New Roman" w:eastAsia="Times New Roman" w:hAnsi="Times New Roman"/>
          <w:sz w:val="20"/>
          <w:szCs w:val="20"/>
          <w:color w:val="auto"/>
        </w:rPr>
        <w:t>Except as may have been obtained or made on or prior to the Closing Date (and which remain in full force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 on the Closing Date),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w:t>
      </w:r>
    </w:p>
    <w:p>
      <w:pPr>
        <w:spacing w:after="0" w:line="176" w:lineRule="exact"/>
        <w:rPr>
          <w:sz w:val="20"/>
          <w:szCs w:val="20"/>
          <w:color w:val="auto"/>
        </w:rPr>
      </w:pPr>
    </w:p>
    <w:p>
      <w:pPr>
        <w:jc w:val="both"/>
        <w:ind w:left="10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5.17 Subsidiaries</w:t>
      </w:r>
      <w:r>
        <w:rPr>
          <w:rFonts w:ascii="Times New Roman" w:cs="Times New Roman" w:eastAsia="Times New Roman" w:hAnsi="Times New Roman"/>
          <w:sz w:val="20"/>
          <w:szCs w:val="20"/>
          <w:color w:val="auto"/>
        </w:rPr>
        <w:t>. Attached hereto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5.11</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 correct and complete list as of the Closing Date of each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Subsidiaries showing as to each Subsidiary, its name, the jurisdiction of its incorporation, establishment or formation, its shareholders or other owners of an interest in each Subsidiary (other than natural Persons) and the number of outstanding shares or other ownership interests owned by each shareholder or other owner of an interest. All of the outstanding Equity Interests in each of the Subsidiaries have been validly issued, are fully paid and nonassessable and, with respect to such Equity Interests constituting Collateral, are free and clear of all Liens (other than Permitted Liens).</w:t>
      </w:r>
    </w:p>
    <w:p>
      <w:pPr>
        <w:spacing w:after="0" w:line="179"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5.18 Environmental Compliance. </w:t>
      </w:r>
      <w:r>
        <w:rPr>
          <w:rFonts w:ascii="Times New Roman" w:cs="Times New Roman" w:eastAsia="Times New Roman" w:hAnsi="Times New Roman"/>
          <w:sz w:val="20"/>
          <w:szCs w:val="20"/>
          <w:color w:val="auto"/>
        </w:rPr>
        <w:t>Except as could not reasonably be expected to have a Material Adverse Effect,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each Subsidiary are in compliance with all applicable Environmental Laws, and neither the Company nor any Subsidiary has used Hazardous Materials on, from, or affecting any property now owned or occupied or hereafter owned or occupied by the Company or any such Subsidiary in any manner which violates any applicable Environmental Law.</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0" w:name="page271"/>
    <w:bookmarkEnd w:id="270"/>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5.19 No Default. </w:t>
      </w:r>
      <w:r>
        <w:rPr>
          <w:rFonts w:ascii="Times New Roman" w:cs="Times New Roman" w:eastAsia="Times New Roman" w:hAnsi="Times New Roman"/>
          <w:sz w:val="20"/>
          <w:szCs w:val="20"/>
          <w:color w:val="auto"/>
        </w:rPr>
        <w:t>No Default or Event of Default has occurred and is continuing.</w:t>
      </w:r>
    </w:p>
    <w:p>
      <w:pPr>
        <w:spacing w:after="0" w:line="216"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5.20 Permits and Licenses. </w:t>
      </w:r>
      <w:r>
        <w:rPr>
          <w:rFonts w:ascii="Times New Roman" w:cs="Times New Roman" w:eastAsia="Times New Roman" w:hAnsi="Times New Roman"/>
          <w:sz w:val="20"/>
          <w:szCs w:val="20"/>
          <w:color w:val="auto"/>
        </w:rPr>
        <w:t>The Company and each Subsidiary each has all permits, licenses, certifications, authorizations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approvals required for it lawfully to own and operate its businesses, except those the failure of which to have, individually or in the aggregate, could not reasonably be expected to have a Material Adverse Effect.</w:t>
      </w:r>
    </w:p>
    <w:p>
      <w:pPr>
        <w:spacing w:after="0" w:line="169"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5.21 Compliance with Law. </w:t>
      </w:r>
      <w:r>
        <w:rPr>
          <w:rFonts w:ascii="Times New Roman" w:cs="Times New Roman" w:eastAsia="Times New Roman" w:hAnsi="Times New Roman"/>
          <w:sz w:val="20"/>
          <w:szCs w:val="20"/>
          <w:color w:val="auto"/>
        </w:rPr>
        <w:t>The Company and each Subsidiary are in compliance with all laws, rules, regulations, orders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decrees which are applicable to it, or to any of its properties, except those the failure of which to comply with, individually or in the aggregate, could not reasonably be expected to have a Material Adverse Effect.</w:t>
      </w:r>
    </w:p>
    <w:p>
      <w:pPr>
        <w:spacing w:after="0" w:line="169"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5.22 Disclosure. </w:t>
      </w:r>
      <w:r>
        <w:rPr>
          <w:rFonts w:ascii="Times New Roman" w:cs="Times New Roman" w:eastAsia="Times New Roman" w:hAnsi="Times New Roman"/>
          <w:sz w:val="20"/>
          <w:szCs w:val="20"/>
          <w:color w:val="auto"/>
        </w:rPr>
        <w:t>As of the Closing Date, the Loan Documents and the other documents, certificates and written statements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furnished to the Arrangers, the Administrative Agent, the L/C Issuer, or any Lender by or on behalf of the Company or any of its Subsidiaries for use in connection with the transactions contemplated by this Agreement, when taken as a whole and together with the public filings of the Company, do not contain any untrue statement of material fact or omit to state a material fact necessary in order to make the statements contained herein or therein not materially misleading in light of the circumstances in which they were made, provided that, with respect to projected financial information, the Company represents only that such information was prepared in good faith based upon assumptions believed by them to be reasonable at the time delivered and, if such projected financial information was delivered prior to the Closing Date, as of the Closing Date, it being understood that any such projected financial information may vary from actual results and such variations could be material.</w:t>
      </w:r>
    </w:p>
    <w:p>
      <w:pPr>
        <w:spacing w:after="0" w:line="186"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5.23 Labor Disputes and Acts of God. </w:t>
      </w:r>
      <w:r>
        <w:rPr>
          <w:rFonts w:ascii="Times New Roman" w:cs="Times New Roman" w:eastAsia="Times New Roman" w:hAnsi="Times New Roman"/>
          <w:sz w:val="20"/>
          <w:szCs w:val="20"/>
          <w:color w:val="auto"/>
        </w:rPr>
        <w:t>Neither the business nor the properties of the Company or any Subsidiary is (i) engaged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any strike, lockout or other labor dispute or (ii) currently affected by or subject to any fire, explosion, accident, drought, storm, earthquake, embargo, act of God or other casualty (whether or not covered by insurance), in each case, which could reasonably be expected to have a Material Adverse Effect.</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5.24 Sanctions and Anti-Corruption Laws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4" w:lineRule="auto"/>
        <w:tabs>
          <w:tab w:leader="none" w:pos="10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Sanctions Concerns</w:t>
      </w:r>
      <w:r>
        <w:rPr>
          <w:rFonts w:ascii="Times New Roman" w:cs="Times New Roman" w:eastAsia="Times New Roman" w:hAnsi="Times New Roman"/>
          <w:sz w:val="20"/>
          <w:szCs w:val="20"/>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are (i) currently the subject or target of any Sanctions, (ii) included on OFAC’s List of Specially Designated Nationals or HMT’s Consolidated List of Financial Sanctions Targets, or any similar list enforced by any other relevant sanctions authority, including the Government of Canada or (iii) located, organized or resident in a Designated Jurisdiction. The Company and its Subsidiaries have conducted their businesses in compliance with all applicable Sanctions and have instituted and maintained policies and procedures designed to promote and achieve compliance with such Sanctions.</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Anti-Corruption Laws</w:t>
      </w:r>
      <w:r>
        <w:rPr>
          <w:rFonts w:ascii="Times New Roman" w:cs="Times New Roman" w:eastAsia="Times New Roman" w:hAnsi="Times New Roman"/>
          <w:sz w:val="20"/>
          <w:szCs w:val="20"/>
          <w:color w:val="auto"/>
        </w:rPr>
        <w:t>. The Loan Parties and their Subsidiaries have conducted their business in compliance in all material respects with the United States Foreign Corrupt Practices Act of 1977, the UK Bribery Act 2010, the Corruption of Foreign Public Officials Act (Canada) and other applicable anti-corruption legislation in other jurisdictions, and have instituted and maintained policies and procedures designed to promote and achieve compliance with such laws.</w:t>
      </w:r>
    </w:p>
    <w:p>
      <w:pPr>
        <w:spacing w:after="0" w:line="176"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5.25 Intellectual Property; Licenses, Etc</w:t>
      </w:r>
      <w:r>
        <w:rPr>
          <w:rFonts w:ascii="Times New Roman" w:cs="Times New Roman" w:eastAsia="Times New Roman" w:hAnsi="Times New Roman"/>
          <w:sz w:val="20"/>
          <w:szCs w:val="20"/>
          <w:color w:val="auto"/>
        </w:rPr>
        <w:t>. Except as could not reasonably be expected to have a Material Adverse Effect, (i)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Subsidiaries own, or possess the right to use, all of the Intellectual Property that is reasonably necessary for the operation of their respective businesses, without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1" w:name="page272"/>
    <w:bookmarkEnd w:id="271"/>
    <w:p>
      <w:pPr>
        <w:ind w:left="100"/>
        <w:spacing w:after="0" w:line="269" w:lineRule="auto"/>
        <w:rPr>
          <w:sz w:val="20"/>
          <w:szCs w:val="20"/>
          <w:color w:val="auto"/>
        </w:rPr>
      </w:pPr>
      <w:r>
        <w:rPr>
          <w:rFonts w:ascii="Times New Roman" w:cs="Times New Roman" w:eastAsia="Times New Roman" w:hAnsi="Times New Roman"/>
          <w:sz w:val="20"/>
          <w:szCs w:val="20"/>
          <w:color w:val="auto"/>
        </w:rPr>
        <w:t>conflict with the rights of any other Person and (ii) no claim or litigation regarding any of the foregoing is pending or, to the best knowledge of the Company, threatened.</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5.26 EEA Financial Institutions</w:t>
      </w:r>
      <w:r>
        <w:rPr>
          <w:rFonts w:ascii="Times New Roman" w:cs="Times New Roman" w:eastAsia="Times New Roman" w:hAnsi="Times New Roman"/>
          <w:sz w:val="20"/>
          <w:szCs w:val="20"/>
          <w:color w:val="auto"/>
        </w:rPr>
        <w:t>. No Loan Party is an EEA Financial Institution.</w:t>
      </w:r>
    </w:p>
    <w:p>
      <w:pPr>
        <w:spacing w:after="0" w:line="2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5.27 Covered Entities. </w:t>
      </w:r>
      <w:r>
        <w:rPr>
          <w:rFonts w:ascii="Times New Roman" w:cs="Times New Roman" w:eastAsia="Times New Roman" w:hAnsi="Times New Roman"/>
          <w:sz w:val="20"/>
          <w:szCs w:val="20"/>
          <w:color w:val="auto"/>
        </w:rPr>
        <w:t>No Loan Party is a Covered Entity.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 xml:space="preserve">So long as any Lender shall have any Commitment hereunder, any Loan or other Obligation (other than contingent indemnification obligations not yet due and owing) hereunder shall remain unpaid or unsatisfied, or any Letter of Credit shall remain outstanding, the Company shall, and shall (except in the case of the covenants set forth in </w:t>
      </w:r>
      <w:r>
        <w:rPr>
          <w:rFonts w:ascii="Times New Roman" w:cs="Times New Roman" w:eastAsia="Times New Roman" w:hAnsi="Times New Roman"/>
          <w:sz w:val="19"/>
          <w:szCs w:val="19"/>
          <w:u w:val="single" w:color="auto"/>
          <w:color w:val="auto"/>
        </w:rPr>
        <w:t>Sections 6.01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6.02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6.03</w:t>
      </w:r>
      <w:r>
        <w:rPr>
          <w:rFonts w:ascii="Times New Roman" w:cs="Times New Roman" w:eastAsia="Times New Roman" w:hAnsi="Times New Roman"/>
          <w:sz w:val="19"/>
          <w:szCs w:val="19"/>
          <w:color w:val="auto"/>
        </w:rPr>
        <w:t>) cause each Subsidiary to:</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6.07 Financial Statements. </w:t>
      </w:r>
      <w:r>
        <w:rPr>
          <w:rFonts w:ascii="Times New Roman" w:cs="Times New Roman" w:eastAsia="Times New Roman" w:hAnsi="Times New Roman"/>
          <w:sz w:val="20"/>
          <w:szCs w:val="20"/>
          <w:color w:val="auto"/>
        </w:rPr>
        <w:t>Deliver to the Administrative Agent for further distribution to each Lender:</w:t>
      </w:r>
    </w:p>
    <w:p>
      <w:pPr>
        <w:spacing w:after="0" w:line="220" w:lineRule="exact"/>
        <w:rPr>
          <w:sz w:val="20"/>
          <w:szCs w:val="20"/>
          <w:color w:val="auto"/>
        </w:rPr>
      </w:pPr>
    </w:p>
    <w:p>
      <w:pPr>
        <w:jc w:val="both"/>
        <w:ind w:firstLine="757"/>
        <w:spacing w:after="0" w:line="242" w:lineRule="auto"/>
        <w:tabs>
          <w:tab w:leader="none" w:pos="101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90 days after the end of each fiscal year of the Company, a consolidated balance sheet of the Company and its Subsidiaries as at the end of such fiscal year, and the related consolidated statements of income, retained earnings and cash flow for such fiscal year, setting forth in each case in comparative form the figures for the previous fiscal year, all in reasonable detail and prepared in accordance with GAAP, audited and accompanied by a report and opinion of Ernst &amp; Young LLP or another independent certified public accountant of nationally recognized standing (the “</w:t>
      </w:r>
      <w:r>
        <w:rPr>
          <w:rFonts w:ascii="Times New Roman" w:cs="Times New Roman" w:eastAsia="Times New Roman" w:hAnsi="Times New Roman"/>
          <w:sz w:val="20"/>
          <w:szCs w:val="20"/>
          <w:u w:val="single" w:color="auto"/>
          <w:color w:val="auto"/>
        </w:rPr>
        <w:t>Auditor</w:t>
      </w:r>
      <w:r>
        <w:rPr>
          <w:rFonts w:ascii="Times New Roman" w:cs="Times New Roman" w:eastAsia="Times New Roman" w:hAnsi="Times New Roman"/>
          <w:sz w:val="20"/>
          <w:szCs w:val="20"/>
          <w:color w:val="auto"/>
        </w:rPr>
        <w:t>”), which report and opinion shall be prepared in accordance with generally accepted auditing standards and shall not be subject to any “going concern” qualification or exception or any qualification or exception as to the scope of such audit (other than any exception or explanatory paragraph, but not a qualification, with respect to, or resulting from, (i) the maturity of the Loans hereunder occurring within one year from the time such opinion is delivered, (ii) any actual or potential inability to satisfy a financial maintenance covenant under this Agreement in any future period, and/or (iii) a change in accounting principles or practices reflecting a change in GAAP and required or approved by such independent public accountants);</w:t>
      </w:r>
    </w:p>
    <w:p>
      <w:pPr>
        <w:spacing w:after="0" w:line="192"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45 days after the end of each of the first three fiscal quarters of each fiscal year of the Company, an unaudited consolidated balance sheet of the Company and its Subsidiaries as at the end of such fiscal quarter, the related unaudited consolidated statements of income for such fiscal quarter and for the portion of the Company’s fiscal year then ended, and the related unaudited consolidated statements of changes in shareholders’ equity and cash flows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a Responsible Officer of the Company as fairly presenting in all material respects the financial condition, results of operations, shareholders’ equity and cash flows of the Company and its Subsidiaries as of the end of such fiscal quarter and such portion of the fiscal year on a consolidated basis in accordance with GAAP, subject only to normal year-end audit adjustments and the absence of footnotes; </w:t>
      </w:r>
      <w:r>
        <w:rPr>
          <w:rFonts w:ascii="Times New Roman" w:cs="Times New Roman" w:eastAsia="Times New Roman" w:hAnsi="Times New Roman"/>
          <w:sz w:val="20"/>
          <w:szCs w:val="20"/>
          <w:color w:val="FF0000"/>
        </w:rPr>
        <w:t>and</w:t>
      </w:r>
    </w:p>
    <w:p>
      <w:pPr>
        <w:spacing w:after="0" w:line="18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later than concurrently with the delivery of the financial statements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copies of the Company’s annual financial projections, on a quarterly basis with respect to the next succeeding fiscal year (it being recognized by the Administrative Agent and the Lenders that future results included in such projections shall not be viewed as facts and that actual results may differ from projected results)</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-805180</wp:posOffset>
            </wp:positionV>
            <wp:extent cx="21272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19">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2" w:name="page273"/>
    <w:bookmarkEnd w:id="272"/>
    <w:p>
      <w:pPr>
        <w:jc w:val="both"/>
        <w:ind w:firstLine="757"/>
        <w:spacing w:after="0" w:line="249" w:lineRule="auto"/>
        <w:tabs>
          <w:tab w:leader="none" w:pos="1018"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 xml:space="preserve">on or prior to November 14, 2025, a copy of the long-term business plan forecast of </w:t>
      </w:r>
      <w:r>
        <w:rPr>
          <w:rFonts w:ascii="Times New Roman" w:cs="Times New Roman" w:eastAsia="Times New Roman" w:hAnsi="Times New Roman"/>
          <w:sz w:val="20"/>
          <w:szCs w:val="20"/>
          <w:u w:val="single" w:color="auto"/>
          <w:color w:val="008000"/>
        </w:rPr>
        <w:t>the Company and its Subsidiaries</w:t>
      </w:r>
      <w:r>
        <w:rPr>
          <w:rFonts w:ascii="Times New Roman" w:cs="Times New Roman" w:eastAsia="Times New Roman" w:hAnsi="Times New Roman"/>
          <w:sz w:val="20"/>
          <w:szCs w:val="20"/>
          <w:u w:val="single" w:color="auto"/>
          <w:color w:val="0000FF"/>
        </w:rPr>
        <w:t>, which shall include quarterly forecasted amounts through the quarter ending December 31, 2026 including detailed supporting assumptions reasonably acceptable to the Administrative Agent and, in any event, in similar form and substance to the model delivered to the Administrative Agent on August 29, 2025.</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6.08 Certificates; Other Information. </w:t>
      </w:r>
      <w:r>
        <w:rPr>
          <w:rFonts w:ascii="Times New Roman" w:cs="Times New Roman" w:eastAsia="Times New Roman" w:hAnsi="Times New Roman"/>
          <w:sz w:val="20"/>
          <w:szCs w:val="20"/>
          <w:color w:val="auto"/>
        </w:rPr>
        <w:t>Deliver to the Administrative Agent and each Lender:</w:t>
      </w:r>
    </w:p>
    <w:p>
      <w:pPr>
        <w:spacing w:after="0" w:line="220" w:lineRule="exact"/>
        <w:rPr>
          <w:sz w:val="20"/>
          <w:szCs w:val="20"/>
          <w:color w:val="auto"/>
        </w:rPr>
      </w:pPr>
    </w:p>
    <w:p>
      <w:pPr>
        <w:jc w:val="both"/>
        <w:ind w:firstLine="757"/>
        <w:spacing w:after="0" w:line="249" w:lineRule="auto"/>
        <w:tabs>
          <w:tab w:leader="none" w:pos="101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Sections 6.01(a)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 duly completed Compliance Certificate signed by a Responsible Officer of the Company (which delivery may, unless the Administrative Agent or a Lender requests executed originals, be by electronic communication including fax or email and shall be deemed to be an original authentic counterpart thereof for all purposes); </w:t>
      </w:r>
      <w:r>
        <w:rPr>
          <w:rFonts w:ascii="Times New Roman" w:cs="Times New Roman" w:eastAsia="Times New Roman" w:hAnsi="Times New Roman"/>
          <w:sz w:val="20"/>
          <w:szCs w:val="20"/>
          <w:color w:val="FF0000"/>
        </w:rPr>
        <w:t>and</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such additional information regarding the business, financial or corporate affairs of the Company or any Subsidiary, or compliance with the terms of the Loan Documents, as the Administrative Agent or any Lender (through the Administrative Agent) may from time to time reasonably request, including information and documentation reasonably requested by the Administrative Agent or any Lender (through the Administrative Agent) for purposes of compliance with applicable “know your customer” and anti-money-laundering rules and regulations, including, without limitation, the Beneficial Ownership Regulation</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from and after the Fourth Amendment Effective Date, on a biweekly basis (i.e., every two weeks), a reasonably detailed, written update regarding the status of the ongoing strategic alternatives review that the Company is undertaking with the assistance of the Company’s investment banking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-1528445</wp:posOffset>
            </wp:positionV>
            <wp:extent cx="212725"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21">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Documents required to be delivered pursuant to </w:t>
      </w:r>
      <w:r>
        <w:rPr>
          <w:rFonts w:ascii="Times New Roman" w:cs="Times New Roman" w:eastAsia="Times New Roman" w:hAnsi="Times New Roman"/>
          <w:sz w:val="19"/>
          <w:szCs w:val="19"/>
          <w:u w:val="single" w:color="auto"/>
          <w:color w:val="auto"/>
        </w:rPr>
        <w:t>Section 6.01(a)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(to the extent any such documents are included in materials otherwise filed with the SEC) may be delivered electronically and if so delivered, shall be deemed to have been delivered on the earlier of the date (i) on which the Company posts such documents, or provides a link thereto on the Company’s website on the Internet at the website address listed on </w:t>
      </w:r>
      <w:r>
        <w:rPr>
          <w:rFonts w:ascii="Times New Roman" w:cs="Times New Roman" w:eastAsia="Times New Roman" w:hAnsi="Times New Roman"/>
          <w:sz w:val="19"/>
          <w:szCs w:val="19"/>
          <w:u w:val="single" w:color="auto"/>
          <w:color w:val="auto"/>
        </w:rPr>
        <w:t>Schedule 10.02</w:t>
      </w:r>
      <w:r>
        <w:rPr>
          <w:rFonts w:ascii="Times New Roman" w:cs="Times New Roman" w:eastAsia="Times New Roman" w:hAnsi="Times New Roman"/>
          <w:sz w:val="19"/>
          <w:szCs w:val="19"/>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Company shall notify the Administrative Agent (by telecopier or electronic mail) of the posting of any such documents and upon its reasonable request provide to the Administrative Agent by electronic mail electronic versions (</w:t>
      </w:r>
      <w:r>
        <w:rPr>
          <w:rFonts w:ascii="Times New Roman" w:cs="Times New Roman" w:eastAsia="Times New Roman" w:hAnsi="Times New Roman"/>
          <w:sz w:val="19"/>
          <w:szCs w:val="19"/>
          <w:u w:val="single" w:color="auto"/>
          <w:color w:val="auto"/>
        </w:rPr>
        <w:t>i.e.</w:t>
      </w:r>
      <w:r>
        <w:rPr>
          <w:rFonts w:ascii="Times New Roman" w:cs="Times New Roman" w:eastAsia="Times New Roman" w:hAnsi="Times New Roman"/>
          <w:sz w:val="19"/>
          <w:szCs w:val="19"/>
          <w:color w:val="auto"/>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timely accessing posted documents and maintaining its copies of such documents.</w:t>
      </w:r>
    </w:p>
    <w:p>
      <w:pPr>
        <w:spacing w:after="0" w:line="18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Each Borrower hereby acknowledges that (a) the Administrative Agent and/or the Arrangers will make available to the Lenders and the L/C Issuer materials and/or information provided by or on behalf of the such Borrower hereunder (collectively, “</w:t>
      </w:r>
      <w:r>
        <w:rPr>
          <w:rFonts w:ascii="Times New Roman" w:cs="Times New Roman" w:eastAsia="Times New Roman" w:hAnsi="Times New Roman"/>
          <w:sz w:val="20"/>
          <w:szCs w:val="20"/>
          <w:u w:val="single" w:color="auto"/>
          <w:color w:val="auto"/>
        </w:rPr>
        <w:t>Borrower Materials</w:t>
      </w:r>
      <w:r>
        <w:rPr>
          <w:rFonts w:ascii="Times New Roman" w:cs="Times New Roman" w:eastAsia="Times New Roman" w:hAnsi="Times New Roman"/>
          <w:sz w:val="20"/>
          <w:szCs w:val="20"/>
          <w:color w:val="auto"/>
        </w:rPr>
        <w:t>”) by posting the Borrower Materials on Syndtrak or another similar electronic system (the “</w:t>
      </w: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 and (b) certain of the Lenders (each, a “</w:t>
      </w:r>
      <w:r>
        <w:rPr>
          <w:rFonts w:ascii="Times New Roman" w:cs="Times New Roman" w:eastAsia="Times New Roman" w:hAnsi="Times New Roman"/>
          <w:sz w:val="20"/>
          <w:szCs w:val="20"/>
          <w:u w:val="single" w:color="auto"/>
          <w:color w:val="auto"/>
        </w:rPr>
        <w:t>Public Lender</w:t>
      </w:r>
      <w:r>
        <w:rPr>
          <w:rFonts w:ascii="Times New Roman" w:cs="Times New Roman" w:eastAsia="Times New Roman" w:hAnsi="Times New Roman"/>
          <w:sz w:val="20"/>
          <w:szCs w:val="20"/>
          <w:color w:val="auto"/>
        </w:rPr>
        <w:t>”) may have personnel who do not wish to receive material non-public information with respect to the Company or its Affiliates, or the respective securities of any of the foregoing, and who may be engaged in investment and other market-related activities with respect to such Persons’ securities. Each Borrower hereby agrees that it will, upon the Administrative Agent’s reasonable request, use commercially reasonable efforts to identify that portion of (w) all Borrower Materials that are to be made available to Public Lenders shall be clearly and conspicuously marked “PUBLIC” which, at a minimum, shall mean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3" w:name="page274"/>
    <w:bookmarkEnd w:id="273"/>
    <w:p>
      <w:pPr>
        <w:jc w:val="both"/>
        <w:spacing w:after="0" w:line="242" w:lineRule="auto"/>
        <w:rPr>
          <w:sz w:val="20"/>
          <w:szCs w:val="20"/>
          <w:color w:val="auto"/>
        </w:rPr>
      </w:pPr>
      <w:r>
        <w:rPr>
          <w:rFonts w:ascii="Times New Roman" w:cs="Times New Roman" w:eastAsia="Times New Roman" w:hAnsi="Times New Roman"/>
          <w:sz w:val="20"/>
          <w:szCs w:val="20"/>
          <w:color w:val="auto"/>
        </w:rPr>
        <w:t>that the word “PUBLIC” shall appear prominently on the first page thereof; (x) by marking Borrower Materials “PUBLIC,” the Borrowers shall be deemed to have authorized the Administrative Agent, the Arrangers, the L/C Issuer and the Lenders to treat such Borrower Materials as not containing any material non-public information (although it may be sensitive and proprietary) with respect to the Borrowers or their respective securities for purposes of United States Federal and state securities laws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such Borrower Materials constitute Information, they shall be treated as set forth in </w:t>
      </w:r>
      <w:r>
        <w:rPr>
          <w:rFonts w:ascii="Times New Roman" w:cs="Times New Roman" w:eastAsia="Times New Roman" w:hAnsi="Times New Roman"/>
          <w:sz w:val="20"/>
          <w:szCs w:val="20"/>
          <w:u w:val="single" w:color="auto"/>
          <w:color w:val="auto"/>
        </w:rPr>
        <w:t>Section 10.07</w:t>
      </w:r>
      <w:r>
        <w:rPr>
          <w:rFonts w:ascii="Times New Roman" w:cs="Times New Roman" w:eastAsia="Times New Roman" w:hAnsi="Times New Roman"/>
          <w:sz w:val="20"/>
          <w:szCs w:val="20"/>
          <w:color w:val="auto"/>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unless and until the Company and the Administrative Agent otherwise agree, no Borrower shall be under any obligation to mark any Borrower Materials “PUBLIC, and no Borrower Materials shall be posted on the portion of the Platform designated for “Public Side Information.”</w:t>
      </w:r>
    </w:p>
    <w:p>
      <w:pPr>
        <w:spacing w:after="0" w:line="188"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6.09 Notices. </w:t>
      </w:r>
      <w:r>
        <w:rPr>
          <w:rFonts w:ascii="Times New Roman" w:cs="Times New Roman" w:eastAsia="Times New Roman" w:hAnsi="Times New Roman"/>
          <w:sz w:val="20"/>
          <w:szCs w:val="20"/>
          <w:color w:val="auto"/>
        </w:rPr>
        <w:t>Promptly after a Responsible Officer of the Company obtains actual knowledge thereof, notify the Administrative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Agent, for further notification to each Lender, of:</w:t>
      </w:r>
    </w:p>
    <w:p>
      <w:pPr>
        <w:spacing w:after="0" w:line="156" w:lineRule="exact"/>
        <w:rPr>
          <w:sz w:val="20"/>
          <w:szCs w:val="20"/>
          <w:color w:val="auto"/>
        </w:rPr>
      </w:pPr>
    </w:p>
    <w:p>
      <w:pPr>
        <w:ind w:left="1020" w:hanging="263"/>
        <w:spacing w:after="0"/>
        <w:tabs>
          <w:tab w:leader="none" w:pos="10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Default;</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or any material development in, any litigation or proceeding affecting the Company or any Subsidiary, including pursuant to any applicable Environmental Laws that has resulted or would reasonably be expected to result in a Material Adverse Effect;</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ERISA Event; and</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material change in accounting policies or financial reporting practices by the Company, including any determination by the Company referred to in </w:t>
      </w:r>
      <w:r>
        <w:rPr>
          <w:rFonts w:ascii="Times New Roman" w:cs="Times New Roman" w:eastAsia="Times New Roman" w:hAnsi="Times New Roman"/>
          <w:sz w:val="20"/>
          <w:szCs w:val="20"/>
          <w:u w:val="single" w:color="auto"/>
          <w:color w:val="auto"/>
        </w:rPr>
        <w:t>Section 2.10(b)</w:t>
      </w:r>
      <w:r>
        <w:rPr>
          <w:rFonts w:ascii="Times New Roman" w:cs="Times New Roman" w:eastAsia="Times New Roman" w:hAnsi="Times New Roman"/>
          <w:sz w:val="20"/>
          <w:szCs w:val="20"/>
          <w:color w:val="auto"/>
        </w:rPr>
        <w:t>; and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6.03</w:t>
      </w:r>
      <w:r>
        <w:rPr>
          <w:rFonts w:ascii="Times New Roman" w:cs="Times New Roman" w:eastAsia="Times New Roman" w:hAnsi="Times New Roman"/>
          <w:sz w:val="20"/>
          <w:szCs w:val="20"/>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 w:cs="Times New Roman" w:eastAsia="Times New Roman" w:hAnsi="Times New Roman"/>
          <w:sz w:val="20"/>
          <w:szCs w:val="20"/>
          <w:u w:val="single" w:color="auto"/>
          <w:color w:val="auto"/>
        </w:rPr>
        <w:t>Section 6.03(a)</w:t>
      </w:r>
      <w:r>
        <w:rPr>
          <w:rFonts w:ascii="Times New Roman" w:cs="Times New Roman" w:eastAsia="Times New Roman" w:hAnsi="Times New Roman"/>
          <w:sz w:val="20"/>
          <w:szCs w:val="20"/>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6.10 Payment of Taxes. </w:t>
      </w:r>
      <w:r>
        <w:rPr>
          <w:rFonts w:ascii="Times New Roman" w:cs="Times New Roman" w:eastAsia="Times New Roman" w:hAnsi="Times New Roman"/>
          <w:sz w:val="20"/>
          <w:szCs w:val="20"/>
          <w:color w:val="auto"/>
        </w:rPr>
        <w:t>Pay and discharge as the same shall become due and payable all tax liabilities, assessments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government charges or levies upon it or its properties or assets, except where (a) the same are being contested in good faith by appropriate proceedings diligently conducted and adequate reserves in accordance with GAAP are being maintained by the Company or such Subsidiary, or (b) where the failure to make payment could not reasonably be expected to, individually or in the aggregate, result in a Material Adverse Effect.</w:t>
      </w:r>
    </w:p>
    <w:p>
      <w:pPr>
        <w:spacing w:after="0" w:line="180" w:lineRule="exact"/>
        <w:rPr>
          <w:sz w:val="20"/>
          <w:szCs w:val="20"/>
          <w:color w:val="auto"/>
        </w:rPr>
      </w:pPr>
    </w:p>
    <w:p>
      <w:pPr>
        <w:jc w:val="both"/>
        <w:ind w:left="100"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6.11 Preservation of Existence, Etc. </w:t>
      </w:r>
      <w:r>
        <w:rPr>
          <w:rFonts w:ascii="Times New Roman" w:cs="Times New Roman" w:eastAsia="Times New Roman" w:hAnsi="Times New Roman"/>
          <w:sz w:val="19"/>
          <w:szCs w:val="19"/>
          <w:color w:val="auto"/>
        </w:rPr>
        <w:t>(a) Preserve, renew and maintain in full force and effect its legal existence and good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standing under the Laws of the jurisdiction of its organization incorporation or establishment except in a transaction permitted by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7.04</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7.05</w:t>
      </w:r>
      <w:r>
        <w:rPr>
          <w:rFonts w:ascii="Times New Roman" w:cs="Times New Roman" w:eastAsia="Times New Roman" w:hAnsi="Times New Roman"/>
          <w:sz w:val="19"/>
          <w:szCs w:val="19"/>
          <w:color w:val="auto"/>
        </w:rPr>
        <w:t>, and, other than with respect to the Loan Parties, except as could not reasonably be expected to have a Material Adverse Effect;</w:t>
      </w:r>
    </w:p>
    <w:p>
      <w:pPr>
        <w:spacing w:after="0" w:line="2" w:lineRule="exact"/>
        <w:rPr>
          <w:sz w:val="20"/>
          <w:szCs w:val="20"/>
          <w:color w:val="auto"/>
        </w:rPr>
      </w:pPr>
    </w:p>
    <w:p>
      <w:pPr>
        <w:jc w:val="both"/>
        <w:ind w:left="100" w:hanging="3"/>
        <w:spacing w:after="0" w:line="241" w:lineRule="auto"/>
        <w:tabs>
          <w:tab w:leader="none" w:pos="385"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4" w:name="page275"/>
    <w:bookmarkEnd w:id="274"/>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6.12 Maintenance of Properties. </w:t>
      </w:r>
      <w:r>
        <w:rPr>
          <w:rFonts w:ascii="Times New Roman" w:cs="Times New Roman" w:eastAsia="Times New Roman" w:hAnsi="Times New Roman"/>
          <w:sz w:val="20"/>
          <w:szCs w:val="20"/>
          <w:color w:val="auto"/>
        </w:rPr>
        <w:t>Maintain, preserve and protect all of its material properties and equipment necessary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 of its business in good working order and condition, ordinary wear and tear excepted; except in each case where the failure to do so could not reasonably be expected to have a Material Adverse Effect.</w:t>
      </w:r>
    </w:p>
    <w:p>
      <w:pPr>
        <w:spacing w:after="0" w:line="169"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6.13 Maintenance of Insurance. </w:t>
      </w:r>
      <w:r>
        <w:rPr>
          <w:rFonts w:ascii="Times New Roman" w:cs="Times New Roman" w:eastAsia="Times New Roman" w:hAnsi="Times New Roman"/>
          <w:sz w:val="20"/>
          <w:szCs w:val="20"/>
          <w:color w:val="auto"/>
        </w:rPr>
        <w:t>Maintain with financially sound and reputable insurance companies (in the good faith judgment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management of the Company), insurance with respect to its properties and business against loss or damage of the kinds customarily insured against by Persons engaged in the same or similar business, of such types and in such amounts (after giving effect to any self-insurance which and the Company believes (in the good faith judgment of management of the Company) is reasonable and prudent in light of the size and nature of its business) as the Company believes (in the good faith judgment of the management of the Company) are reasonable and prudent in light of the size and nature of its business . Not later than 60 days after the Closing Date (or such later date as the Administrative Agent may agree in its reasonable discretion), all such insurance shall (a) provide for not less than 30 days’ prior notice to the Administrative Agent of termination, lapse or cancellation of such insurance and (b) name the Administrative Agent as additional insured (in the case of liability insurance) or lender’s loss payable (in the case of property insurance).</w:t>
      </w:r>
    </w:p>
    <w:p>
      <w:pPr>
        <w:spacing w:after="0" w:line="186"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6.14 Compliance with Laws. </w:t>
      </w:r>
      <w:r>
        <w:rPr>
          <w:rFonts w:ascii="Times New Roman" w:cs="Times New Roman" w:eastAsia="Times New Roman" w:hAnsi="Times New Roman"/>
          <w:sz w:val="20"/>
          <w:szCs w:val="20"/>
          <w:color w:val="auto"/>
        </w:rPr>
        <w:t>Comply with the requirements of all Laws and all orders, writs, injunctions and decrees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76"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6.15 Books and Records. </w:t>
      </w:r>
      <w:r>
        <w:rPr>
          <w:rFonts w:ascii="Times New Roman" w:cs="Times New Roman" w:eastAsia="Times New Roman" w:hAnsi="Times New Roman"/>
          <w:sz w:val="20"/>
          <w:szCs w:val="20"/>
          <w:color w:val="auto"/>
        </w:rPr>
        <w:t>Maintain adequate records and proper books of record and account, in which complete and correct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entries in all material respects and in conformity with GAAP (or applicable local standards) consistently applied shall be made of all financial transactions and matters involving the assets and business of the Company or such Subsidiary, as the case may be.</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6.16 Inspection Rights.</w:t>
      </w:r>
    </w:p>
    <w:p>
      <w:pPr>
        <w:spacing w:after="0" w:line="220" w:lineRule="exact"/>
        <w:rPr>
          <w:sz w:val="20"/>
          <w:szCs w:val="20"/>
          <w:color w:val="auto"/>
        </w:rPr>
      </w:pPr>
    </w:p>
    <w:p>
      <w:pPr>
        <w:jc w:val="both"/>
        <w:ind w:firstLine="757"/>
        <w:spacing w:after="0" w:line="242" w:lineRule="auto"/>
        <w:tabs>
          <w:tab w:leader="none" w:pos="101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Permit representatives and independent contractors of the Administrative Agent to visit and inspect any of its properties (provided that with respect to any leased property, such inspection shall not violate the terms of the applicable lease after giving effect to any notification requirements contained therein with which the Company or applicable Subsidiary hereby agrees to comply), to examine its corporate, financial and operating records, and make copies thereof or abstracts therefrom, and to discuss its affairs, finances and accounts with its directors, officers, and independent public accountants, at such reasonable times during normal business hours and as often as may be reasonably desired, upon reasonable advance notice to the Company; provided that, excluding any such visits and inspections during the continuation of an Event of Default, only the Administrative Agent on behalf of the Lenders may exercise visitation and inspection rights of the Administrative Agent and the Lenders under this Section 6.10 and the Administrative Agent shall not exercise such rights more often than one time during any calendar year absent the existence of an Event of Default and only one such visitation and inspection shall be at the reasonable expense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when an Event of Default exists the Administrative Agent or any Lender (or any of their respective representatives or independent contractors) may do any of the foregoing at the expense of the Company at any time during normal business hours and upon reasonable advance notice.</w:t>
      </w:r>
    </w:p>
    <w:p>
      <w:pPr>
        <w:spacing w:after="0" w:line="187"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Without limiting the foregoing, from and after the Fourth Amendment Effective Date, provide the Financial Advisor reasonable access to the Company and its Subsidiaries (and its and its Subsidiaries’ officers, appropriate employees, and books and records) upon reasonable advance notice, 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5" w:name="page276"/>
    <w:bookmarkEnd w:id="275"/>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0000FF"/>
        </w:rPr>
        <w:t>shall take reasonable efforts to otherwise cooperate in all respects with the Financial Advisor, and cause its and its Subsidiaries’ officers and appropriate employees to so cooperate, in each case in connection with the Financial Advisor’s ongoing financial, operation and related diligence of the Company and its Subsidiaries on behalf of the Administrative Agent and the Lenders.</w:t>
      </w:r>
    </w:p>
    <w:p>
      <w:pPr>
        <w:spacing w:after="0" w:line="170"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6.17 Use of Proceeds. </w:t>
      </w:r>
      <w:r>
        <w:rPr>
          <w:rFonts w:ascii="Times New Roman" w:cs="Times New Roman" w:eastAsia="Times New Roman" w:hAnsi="Times New Roman"/>
          <w:sz w:val="20"/>
          <w:szCs w:val="20"/>
          <w:color w:val="auto"/>
        </w:rPr>
        <w:t>Use the proceeds of the Credit Extensions for general corporate purposes not in contravention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6.18 Additional Subsidiary Guarantors; Additional Security.</w:t>
      </w:r>
    </w:p>
    <w:p>
      <w:pPr>
        <w:spacing w:after="0" w:line="220" w:lineRule="exact"/>
        <w:rPr>
          <w:sz w:val="20"/>
          <w:szCs w:val="20"/>
          <w:color w:val="auto"/>
        </w:rPr>
      </w:pPr>
    </w:p>
    <w:p>
      <w:pPr>
        <w:jc w:val="both"/>
        <w:ind w:firstLine="757"/>
        <w:spacing w:after="0" w:line="245"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additional Subsidiary is formed or acquired after the Closing Date or any Subsidiary ceases to be an Excluded Subsidiary, the Company will, within 30 days after such newly formed or acquired Subsidiary is formed or acquired (unless such Subsidiary is an Excluded Subsidiary), notify the Administrative Agent thereof, and will and will cause such Subsidiary and the other Loan Parties to take all actions (if any) required to satisfy the Collateral and Guarantee Requirement with respect to such Subsidiary and with respect to any Equity Interest in or Indebtedness of such Subsidiary owned by or on behalf of any Loan Party within 30 days after such notice (or such longer period as the Administrative Agent shall reasonably agree).</w:t>
      </w:r>
    </w:p>
    <w:p>
      <w:pPr>
        <w:spacing w:after="0" w:line="184" w:lineRule="exact"/>
        <w:rPr>
          <w:rFonts w:ascii="Times New Roman" w:cs="Times New Roman" w:eastAsia="Times New Roman" w:hAnsi="Times New Roman"/>
          <w:sz w:val="20"/>
          <w:szCs w:val="20"/>
          <w:color w:val="auto"/>
        </w:rPr>
      </w:pPr>
    </w:p>
    <w:p>
      <w:pPr>
        <w:jc w:val="both"/>
        <w:ind w:firstLine="757"/>
        <w:spacing w:after="0" w:line="266" w:lineRule="auto"/>
        <w:tabs>
          <w:tab w:leader="none" w:pos="1018" w:val="left"/>
        </w:tabs>
        <w:numPr>
          <w:ilvl w:val="0"/>
          <w:numId w:val="2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will, and will cause each Loan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or the Required Lenders may reasonably request, to cause the Collateral and Guarantee Requirement to be and remain satisfied, all at the expense of the Loan Parties.</w:t>
      </w:r>
    </w:p>
    <w:p>
      <w:pPr>
        <w:spacing w:after="0" w:line="165" w:lineRule="exact"/>
        <w:rPr>
          <w:rFonts w:ascii="Times New Roman" w:cs="Times New Roman" w:eastAsia="Times New Roman" w:hAnsi="Times New Roman"/>
          <w:sz w:val="19"/>
          <w:szCs w:val="19"/>
          <w:color w:val="auto"/>
        </w:rPr>
      </w:pPr>
    </w:p>
    <w:p>
      <w:pPr>
        <w:ind w:firstLine="757"/>
        <w:spacing w:after="0" w:line="269" w:lineRule="auto"/>
        <w:tabs>
          <w:tab w:leader="none" w:pos="1018"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any Foreign Subsidiary becoming a Designated Foreign Borrower, subject to the last paragraph in the definition of Collateral and Guarantee Requirement, cause such Person to, on or before the date such Person becomes a Designated Foreign Borrower,</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reasonable request of the Administrative Agent, deliver to the Administrative Agent documents of the types referred to in </w:t>
      </w:r>
      <w:r>
        <w:rPr>
          <w:rFonts w:ascii="Times New Roman" w:cs="Times New Roman" w:eastAsia="Times New Roman" w:hAnsi="Times New Roman"/>
          <w:sz w:val="20"/>
          <w:szCs w:val="20"/>
          <w:u w:val="single" w:color="auto"/>
          <w:color w:val="auto"/>
        </w:rPr>
        <w:t>Section 4.01(a)(iv)</w:t>
      </w:r>
      <w:r>
        <w:rPr>
          <w:rFonts w:ascii="Times New Roman" w:cs="Times New Roman" w:eastAsia="Times New Roman" w:hAnsi="Times New Roman"/>
          <w:sz w:val="20"/>
          <w:szCs w:val="20"/>
          <w:color w:val="auto"/>
        </w:rPr>
        <w:t xml:space="preserve"> as are customary with respect to such Borrower’s jurisdiction and favorable opinions of counsel to such Person,;</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5" w:lineRule="auto"/>
        <w:tabs>
          <w:tab w:leader="none" w:pos="2048"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reasonable request of the Administrative Agent, duly execute and deliver to the Administrative Agent, and cause each direct and indirect wholly-owned Subsidiary thereof that is organized in the same jurisdiction and not an Excluded Subsidiary to execute and deliver to the Administrative Agent, to the extent permitted by applicable Law, such security and pledge agreements, including security and pledge agreements under applicable local law, securing payment of all the Obligations of such Subsidiary or such parent, as the case may be, under the Loan Documents and constituting Liens on all such interests and personal properties; and</w:t>
      </w:r>
    </w:p>
    <w:p>
      <w:pPr>
        <w:spacing w:after="0" w:line="184" w:lineRule="exact"/>
        <w:rPr>
          <w:sz w:val="20"/>
          <w:szCs w:val="20"/>
          <w:color w:val="auto"/>
        </w:rPr>
      </w:pPr>
    </w:p>
    <w:p>
      <w:pPr>
        <w:jc w:val="both"/>
        <w:ind w:left="760" w:firstLine="745"/>
        <w:spacing w:after="0" w:line="245" w:lineRule="auto"/>
        <w:tabs>
          <w:tab w:leader="none" w:pos="2048"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the reasonable request of the Administrative Agent, take action (including the filing of the local jurisdiction equivalent of Uniform Commercial Code financing statements and delivery of all certificates, if any, representing the Equity Interests in and of such Designated Foreign Borrower) that is customary and necessary to vest in the Administrative Agent (or in any representative of the Administrative Agent designated by it) valid and subsisting Liens on the properties (other than any Excluded Assets) purported to be subject to such security and pledge agreements delivered pursuant to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enforceable against all third parties in accordance with their terms.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6" w:name="page277"/>
    <w:bookmarkEnd w:id="276"/>
    <w:p>
      <w:pPr>
        <w:jc w:val="both"/>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FF0000"/>
          <w:strike w:val="1"/>
        </w:rPr>
        <w:t xml:space="preserve">6.13 Designation as Senior Debt. </w:t>
      </w:r>
      <w:r>
        <w:rPr>
          <w:rFonts w:ascii="Times New Roman" w:cs="Times New Roman" w:eastAsia="Times New Roman" w:hAnsi="Times New Roman"/>
          <w:sz w:val="20"/>
          <w:szCs w:val="20"/>
          <w:color w:val="FF0000"/>
          <w:strike w:val="1"/>
        </w:rPr>
        <w:t>Designate all Obligations as “Designated Senior Debt” under, and defined in, any</w:t>
      </w:r>
      <w:r>
        <w:rPr>
          <w:rFonts w:ascii="Times New Roman" w:cs="Times New Roman" w:eastAsia="Times New Roman" w:hAnsi="Times New Roman"/>
          <w:sz w:val="20"/>
          <w:szCs w:val="20"/>
          <w:b w:val="1"/>
          <w:bCs w:val="1"/>
          <w:color w:val="FF0000"/>
          <w:strike w:val="1"/>
        </w:rPr>
        <w:t xml:space="preserve"> </w:t>
      </w:r>
      <w:r>
        <w:rPr>
          <w:rFonts w:ascii="Times New Roman" w:cs="Times New Roman" w:eastAsia="Times New Roman" w:hAnsi="Times New Roman"/>
          <w:sz w:val="20"/>
          <w:szCs w:val="20"/>
          <w:color w:val="FF0000"/>
          <w:strike w:val="1"/>
        </w:rPr>
        <w:t>Subordinated Debt Documents.</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6.19 </w:t>
      </w:r>
      <w:r>
        <w:rPr>
          <w:rFonts w:ascii="Times New Roman" w:cs="Times New Roman" w:eastAsia="Times New Roman" w:hAnsi="Times New Roman"/>
          <w:sz w:val="20"/>
          <w:szCs w:val="20"/>
          <w:b w:val="1"/>
          <w:bCs w:val="1"/>
          <w:u w:val="single" w:color="auto"/>
          <w:color w:val="0000FF"/>
        </w:rPr>
        <w:t>[Intentionally Omitted].</w:t>
      </w:r>
    </w:p>
    <w:p>
      <w:pPr>
        <w:spacing w:after="0" w:line="216"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6.20 Approvals and Authorizations. </w:t>
      </w:r>
      <w:r>
        <w:rPr>
          <w:rFonts w:ascii="Times New Roman" w:cs="Times New Roman" w:eastAsia="Times New Roman" w:hAnsi="Times New Roman"/>
          <w:sz w:val="20"/>
          <w:szCs w:val="20"/>
          <w:i w:val="1"/>
          <w:iCs w:val="1"/>
          <w:color w:val="auto"/>
        </w:rPr>
        <w:t>Maintain all authorizations, consents, approvals and licenses from, exemptions of,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filings and registrations with, each Governmental Authority of the jurisdiction in which each Designated Foreign Borrower is organized and existing, and all approvals and consents of each other Person in such jurisdiction, in each case that are required in connection with the Loan Documents.</w:t>
      </w:r>
    </w:p>
    <w:p>
      <w:pPr>
        <w:spacing w:after="0" w:line="176"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6.21 Further Assurances. </w:t>
      </w:r>
      <w:r>
        <w:rPr>
          <w:rFonts w:ascii="Times New Roman" w:cs="Times New Roman" w:eastAsia="Times New Roman" w:hAnsi="Times New Roman"/>
          <w:sz w:val="20"/>
          <w:szCs w:val="20"/>
          <w:color w:val="auto"/>
        </w:rPr>
        <w:t>Promptly upon the reasonable request by the Administrative Agent, execute any and all further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documents, financing statements, agreements and instruments, and take all such further actions (including the filing and recording of financing statements, fixture filings, mortgages, deeds of trust and other documents), that may be required under any applicable law and that the Administrative Agent may reasonably request, to cause the Collateral and Guarantee Requirement to be and remain satisfied, all at the expense of the Loan Parties.</w:t>
      </w:r>
    </w:p>
    <w:p>
      <w:pPr>
        <w:spacing w:after="0" w:line="180" w:lineRule="exact"/>
        <w:rPr>
          <w:sz w:val="20"/>
          <w:szCs w:val="20"/>
          <w:color w:val="auto"/>
        </w:rPr>
      </w:pPr>
    </w:p>
    <w:p>
      <w:pPr>
        <w:jc w:val="both"/>
        <w:ind w:left="1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6.22 Information Regarding Collateral. </w:t>
      </w:r>
      <w:r>
        <w:rPr>
          <w:rFonts w:ascii="Times New Roman" w:cs="Times New Roman" w:eastAsia="Times New Roman" w:hAnsi="Times New Roman"/>
          <w:sz w:val="20"/>
          <w:szCs w:val="20"/>
          <w:color w:val="auto"/>
        </w:rPr>
        <w:t>Furnish to the Administrative Agent prompt written notice (which shall in any event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by the earlier of (x) 30 days after such change (or such longer notice period agreed to by the Administrative Agent) and (y) 15 days prior to the date on which the perfection of the liens under the Collateral Documents would (absent additional filings or other actions) lapse, in whole or in part, by reason of such change) of any change in (i) any Loan Party’s legal name, (ii) any Loan Party’s jurisdiction of incorporation or organization or (iii) any Loan Party’s identity or type of organization or corporate structure. Each Loan Party agrees to promptly provide the Administrative Agent with certified Organization Documents reflecting any of the changes described in the preceding sentence.</w:t>
      </w:r>
    </w:p>
    <w:p>
      <w:pPr>
        <w:spacing w:after="0" w:line="179"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6.23 Post-Closing Date Obligations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Execute and deliver the agreements, documents and other instruments, and complete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tasks set forth on </w:t>
      </w:r>
      <w:r>
        <w:rPr>
          <w:rFonts w:ascii="Times New Roman" w:cs="Times New Roman" w:eastAsia="Times New Roman" w:hAnsi="Times New Roman"/>
          <w:sz w:val="20"/>
          <w:szCs w:val="20"/>
          <w:u w:val="single" w:color="auto"/>
          <w:color w:val="auto"/>
        </w:rPr>
        <w:t>Schedule 6.17</w:t>
      </w:r>
      <w:r>
        <w:rPr>
          <w:rFonts w:ascii="Times New Roman" w:cs="Times New Roman" w:eastAsia="Times New Roman" w:hAnsi="Times New Roman"/>
          <w:sz w:val="20"/>
          <w:szCs w:val="20"/>
          <w:color w:val="auto"/>
        </w:rPr>
        <w:t>, in each case, within the time limits specified on such schedule (or such longer period of time as the Administrative Agent may agree in its reasonable discretion).</w:t>
      </w:r>
    </w:p>
    <w:p>
      <w:pPr>
        <w:spacing w:after="0" w:line="169"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6.24 Anti-Corruption Laws; Sanctions. </w:t>
      </w:r>
      <w:r>
        <w:rPr>
          <w:rFonts w:ascii="Times New Roman" w:cs="Times New Roman" w:eastAsia="Times New Roman" w:hAnsi="Times New Roman"/>
          <w:sz w:val="20"/>
          <w:szCs w:val="20"/>
          <w:color w:val="auto"/>
        </w:rPr>
        <w:t>Conduct its business in compliance in all material respects with the United States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So long as any Lender shall have any Commitment hereunder, any Loan or other Obligation (other than contingent indemnification obligations not yet due and owing) hereunder shall remain unpaid or unsatisfied, or any Letter of Credit shall remain outstanding, the Company shall not, nor shall it permit any Subsidiary to, directly or indirectly:</w:t>
      </w:r>
    </w:p>
    <w:p>
      <w:pPr>
        <w:spacing w:after="0" w:line="170"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7.01 Liens. </w:t>
      </w:r>
      <w:r>
        <w:rPr>
          <w:rFonts w:ascii="Times New Roman" w:cs="Times New Roman" w:eastAsia="Times New Roman" w:hAnsi="Times New Roman"/>
          <w:sz w:val="20"/>
          <w:szCs w:val="20"/>
          <w:color w:val="auto"/>
        </w:rPr>
        <w:t>Create, incur, assume or suffer to exist any Lien upon any of its property, assets or revenues, whether now owned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hereafter acquired, other than the following: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 Liens pursuant to any Loan Document or otherwise securing any Obligation;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7" w:name="page278"/>
    <w:bookmarkEnd w:id="277"/>
    <w:p>
      <w:pPr>
        <w:jc w:val="both"/>
        <w:ind w:firstLine="757"/>
        <w:spacing w:after="0" w:line="245"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Fourth Amendment Effective</w:t>
      </w:r>
      <w:r>
        <w:rPr>
          <w:rFonts w:ascii="Times New Roman" w:cs="Times New Roman" w:eastAsia="Times New Roman" w:hAnsi="Times New Roman"/>
          <w:sz w:val="20"/>
          <w:szCs w:val="20"/>
          <w:color w:val="auto"/>
        </w:rPr>
        <w:t xml:space="preserve"> Date securing Indebtedness or other obligations; provided that in the case of Liens in excess of $5,000,000 (individually) shall be set forth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 such Lien does not extend to any additional property other than after-acquired property that is affixed or incorporated into the property covered by such Lien, (ii) the amount secured or benefited thereby is not increased except as contemplated by </w:t>
      </w:r>
      <w:r>
        <w:rPr>
          <w:rFonts w:ascii="Times New Roman" w:cs="Times New Roman" w:eastAsia="Times New Roman" w:hAnsi="Times New Roman"/>
          <w:sz w:val="20"/>
          <w:szCs w:val="20"/>
          <w:u w:val="single" w:color="auto"/>
          <w:color w:val="auto"/>
        </w:rPr>
        <w:t>Section 7.03(b)</w:t>
      </w:r>
      <w:r>
        <w:rPr>
          <w:rFonts w:ascii="Times New Roman" w:cs="Times New Roman" w:eastAsia="Times New Roman" w:hAnsi="Times New Roman"/>
          <w:sz w:val="20"/>
          <w:szCs w:val="20"/>
          <w:color w:val="auto"/>
        </w:rPr>
        <w:t xml:space="preserve">, (iii) the direct or any contingent obligor with respect thereto is not changed, and (iv) any renewal or extension of the obligations secured or benefited thereby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7.03(b)</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7.03(f)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notice of Lien has been filed or recorded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Code;</w:t>
      </w:r>
    </w:p>
    <w:p>
      <w:pPr>
        <w:spacing w:after="0" w:line="193"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carriers’, warehousemen’s, mechanics’, materialmen’s, repairmen’s, suppliers’ or other like Liens arising in the ordinary course of business which are not overdue for a period of more than thirty (30) days or which are being contested in good faith and by appropriate proceedings diligently conducted, if reserves or other appropriate provisions are maintained on the books of the applicable Person in accordance with GAAP;</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deposits made in the ordinary course of business in connection with workers’ compensation, unemployment insurance and other social security legislation, other than any Lien imposed by ERISA, including obligations in respect of letters of credit or similar instruments that have been posted to support the same;</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incurred or deposits made to secure the performance of tenders, bids, trade contracts (other than for borrowed money) and leases (other than Indebtedness), statutory obligations, surety and appeal bonds, performance bonds and other obligations of a like nature, in each case, incurred in the ordinary course of business, including obligations in respect of letters of credit or similar instruments that have been posted to support the same;</w:t>
      </w:r>
    </w:p>
    <w:p>
      <w:pPr>
        <w:spacing w:after="0" w:line="17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 of way, restrictions, encumbrances, restrictive covenants, servitudes, sewers, electric lines, drains, telegraph and telephone and cable television lines, gas and oil pipelines and other similar purposes building codes, encroachments, protrusions, zoning restrictions and other similar charges or encumbrances and minor title defects or other irregularities in title and survey exceptions affecting real property incurred in the ordinary course of business which, in the aggregate, do not materially interfere with the normal course of the business of the Company and the Subsidiaries, taken as a whole;</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judgments for the payment of money not constituting an Event of Default under </w:t>
      </w:r>
      <w:r>
        <w:rPr>
          <w:rFonts w:ascii="Times New Roman" w:cs="Times New Roman" w:eastAsia="Times New Roman" w:hAnsi="Times New Roman"/>
          <w:sz w:val="20"/>
          <w:szCs w:val="20"/>
          <w:u w:val="single" w:color="auto"/>
          <w:color w:val="auto"/>
        </w:rPr>
        <w:t>Section 8.01(h)</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do not at any time encumber any property other than the property financed by such Indebtedness (other than accessions and additions thereto and replacements and proceeds thereof) and (ii) the Indebtedness secured thereby does not exceed 100% of the purchase price of the property being acquired; provided that individual financings of equipment provided by one lender may be cross collateralized to other financings of equipment provided by such lender;</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as a matter of law or created in the ordinary course of business in the nature of (i) normal and customary rights of setoff and bankers’ Liens, rights of setoff and other similar Liens existing solely with respect to cash and Cash Equivalents on deposit in one or more accounts maintained by the Company or any of its Subsidiaries with any Lender, in each case in the ordinary course of business in favor of the bank or banks with which such accounts are maintained, with respect to cash management and operating account arrangements, cash management arrangements or in connection with the issuance of</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8" w:name="page279"/>
    <w:bookmarkEnd w:id="278"/>
    <w:p>
      <w:pPr>
        <w:jc w:val="both"/>
        <w:spacing w:after="0" w:line="254" w:lineRule="auto"/>
        <w:rPr>
          <w:sz w:val="20"/>
          <w:szCs w:val="20"/>
          <w:color w:val="auto"/>
        </w:rPr>
      </w:pPr>
      <w:r>
        <w:rPr>
          <w:rFonts w:ascii="Times New Roman" w:cs="Times New Roman" w:eastAsia="Times New Roman" w:hAnsi="Times New Roman"/>
          <w:sz w:val="20"/>
          <w:szCs w:val="20"/>
          <w:color w:val="auto"/>
        </w:rPr>
        <w:t>letters of credit, bank guarantees or other similar instruments, (ii) Liens securing reasonable and customary fees for services in favor of banks, securities intermediaries or other depository institutions and (iii) Liens in favor of customs and revenue authorities to secure payment of customs duties in connection with the importation of goods;</w:t>
      </w:r>
    </w:p>
    <w:p>
      <w:pPr>
        <w:spacing w:after="0" w:line="174" w:lineRule="exact"/>
        <w:rPr>
          <w:sz w:val="20"/>
          <w:szCs w:val="20"/>
          <w:color w:val="auto"/>
        </w:rPr>
      </w:pPr>
    </w:p>
    <w:p>
      <w:pPr>
        <w:jc w:val="both"/>
        <w:ind w:firstLine="757"/>
        <w:spacing w:after="0" w:line="246" w:lineRule="auto"/>
        <w:tabs>
          <w:tab w:leader="none" w:pos="1018"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leases, licenses, subleases or sublicenses granted to other Persons in the ordinary course of business which do not (A) interfere in any material respect with the business of the Company and its Subsidiaries, taken as a whole, (B) secure any Indebtedness, or (C) with respect to any property that is subject to such lease, license, sublease or sublicense and material to the business of the Company and its Subsidiaries, taken as a whole, materially impair the value of such property; and (ii) the rights reserved or vested in any Person by the terms of any lease, license, franchise, grant or permit held by the Company or any Subsidiary;</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securing Indebtedness represented by financed insurance premiums in the ordinary course of business or otherwise consistent with past practice, provided that such Liens do not extend to any property or assets other than the corresponding insurance policies being financed;</w:t>
      </w:r>
    </w:p>
    <w:p>
      <w:pPr>
        <w:spacing w:after="0" w:line="174"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(m)Liens arising from precautionary UCC financing statements or similar filings made in respect of operating leases entered into by the Company or any of its Subsidiaries;</w:t>
      </w:r>
    </w:p>
    <w:p>
      <w:pPr>
        <w:spacing w:after="0" w:line="159" w:lineRule="exact"/>
        <w:rPr>
          <w:sz w:val="20"/>
          <w:szCs w:val="20"/>
          <w:color w:val="auto"/>
        </w:rPr>
      </w:pPr>
    </w:p>
    <w:p>
      <w:pPr>
        <w:ind w:firstLine="757"/>
        <w:spacing w:after="0" w:line="269" w:lineRule="auto"/>
        <w:tabs>
          <w:tab w:leader="none" w:pos="10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property of a Subsidiary that is not a Loan Party which secure Indebtedness or other obligations of such Subsidiary or another Subsidiary that is not a Loan Party, in each case to the extent such Indebtedness is permitted under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Receivables and Related Assets sold in a Permitted Factoring Program;</w:t>
      </w:r>
    </w:p>
    <w:p>
      <w:pPr>
        <w:spacing w:after="0" w:line="21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existing on any property or asset prior to the acquisition thereof by the Company or any Subsidiary or existing on any property or asset of any Person that becomes a Subsidiary after the date hereof prior to the time such Person becomes a Subsidiary; provided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that it secures on the date of such acquisition or the date such Person becomes a Subsidiary, as the case may be, and extensions, renewals and replacements thereof that do not increase the outstanding principal amount thereof;</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accounts receivable, Securitization Assets and related assets incurred in connection with a Qualified Securitization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Facility;</w:t>
      </w:r>
    </w:p>
    <w:p>
      <w:pPr>
        <w:spacing w:after="0" w:line="193"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other Liens;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that at the time of incurrence of the obligations secured thereby (</w:t>
      </w:r>
      <w:r>
        <w:rPr>
          <w:rFonts w:ascii="Times New Roman" w:cs="Times New Roman" w:eastAsia="Times New Roman" w:hAnsi="Times New Roman"/>
          <w:sz w:val="20"/>
          <w:szCs w:val="20"/>
          <w:color w:val="008000"/>
          <w:strike w:val="1"/>
        </w:rPr>
        <w:t>after giving pro forma effect to</w:t>
      </w:r>
      <w:r>
        <w:rPr>
          <w:rFonts w:ascii="Times New Roman" w:cs="Times New Roman" w:eastAsia="Times New Roman" w:hAnsi="Times New Roman"/>
          <w:sz w:val="20"/>
          <w:szCs w:val="20"/>
          <w:color w:val="FF0000"/>
        </w:rPr>
        <w:t xml:space="preserve"> any such </w:t>
      </w:r>
      <w:r>
        <w:rPr>
          <w:rFonts w:ascii="Times New Roman" w:cs="Times New Roman" w:eastAsia="Times New Roman" w:hAnsi="Times New Roman"/>
          <w:sz w:val="20"/>
          <w:szCs w:val="20"/>
          <w:color w:val="FF0000"/>
          <w:strike w:val="1"/>
        </w:rPr>
        <w:t>obligations) the aggregate outstanding face amount of obligations secured by Liens existing in reliance on this clause (s) shall not exceed the greater of $130,000,000 and 50.0% of Consolidated TTM EBITDA;</w:t>
      </w:r>
      <w:r>
        <w:rPr>
          <w:rFonts w:ascii="Times New Roman" w:cs="Times New Roman" w:eastAsia="Times New Roman" w:hAnsi="Times New Roman"/>
          <w:sz w:val="20"/>
          <w:szCs w:val="20"/>
          <w:u w:val="single" w:color="auto"/>
          <w:color w:val="0000FF"/>
          <w:strike w:val="1"/>
        </w:rPr>
        <w:t>[Intentionally Omitted];</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granted by a (i) Subsidiary that is not a Loan Party in favor of any Loan Party, (ii) Subsidiary that is not a Loan Party in favor of Subsidiary that is not a Loan Party, and (iii) Loan Party in favor of any other Loan Party;</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by the Company or any of its Subsidiaries in the ordinary course of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6652895</wp:posOffset>
            </wp:positionH>
            <wp:positionV relativeFrom="paragraph">
              <wp:posOffset>-1246505</wp:posOffset>
            </wp:positionV>
            <wp:extent cx="48323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28">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79" w:name="page280"/>
    <w:bookmarkEnd w:id="279"/>
    <w:p>
      <w:pPr>
        <w:ind w:left="760"/>
        <w:spacing w:after="0"/>
        <w:rPr>
          <w:sz w:val="20"/>
          <w:szCs w:val="20"/>
          <w:color w:val="auto"/>
        </w:rPr>
      </w:pPr>
      <w:r>
        <w:rPr>
          <w:rFonts w:ascii="Times New Roman" w:cs="Times New Roman" w:eastAsia="Times New Roman" w:hAnsi="Times New Roman"/>
          <w:sz w:val="20"/>
          <w:szCs w:val="20"/>
          <w:color w:val="auto"/>
        </w:rPr>
        <w:t>(u) Liens on cash or Cash Equivalents securing Swap Contracts in the ordinary course of business.</w:t>
      </w:r>
    </w:p>
    <w:p>
      <w:pPr>
        <w:spacing w:after="0" w:line="2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7.02 Investments. </w:t>
      </w:r>
      <w:r>
        <w:rPr>
          <w:rFonts w:ascii="Times New Roman" w:cs="Times New Roman" w:eastAsia="Times New Roman" w:hAnsi="Times New Roman"/>
          <w:sz w:val="20"/>
          <w:szCs w:val="20"/>
          <w:color w:val="auto"/>
        </w:rPr>
        <w:t>Make any Investments, except:</w:t>
      </w:r>
    </w:p>
    <w:p>
      <w:pPr>
        <w:spacing w:after="0" w:line="220" w:lineRule="exact"/>
        <w:rPr>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Eligible Investments held by the Company or any Subsidiary;</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to officers, directors and employees of the Company and Subsidiaries in an aggregate amount not to exceed $5,000,000 at any time outstanding, for travel, entertainment, relocation and analogous ordinary business purposes;</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the Company or any Subsidiary in the Company or any other Subsidiary;</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 (ii) Investments in securities of trade creditors or customers received pursuant to any plan of reorganization or similar arrangement upon the bankruptcy or insolvency of such trade creditors or customers; and (iii) and Investments received in compromise or resolution of litigation, arbitration or other disputes;</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in Swap Contracts permitted under </w:t>
      </w:r>
      <w:r>
        <w:rPr>
          <w:rFonts w:ascii="Times New Roman" w:cs="Times New Roman" w:eastAsia="Times New Roman" w:hAnsi="Times New Roman"/>
          <w:sz w:val="20"/>
          <w:szCs w:val="20"/>
          <w:u w:val="single" w:color="auto"/>
          <w:color w:val="auto"/>
        </w:rPr>
        <w:t>Section 7.03(d)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prepayments to suppliers in the ordinary course of business;</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and other service providers in the ordinary course of business</w:t>
      </w:r>
    </w:p>
    <w:p>
      <w:pPr>
        <w:spacing w:after="0" w:line="215"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and other acquisitions to the extent that payment for such Investments is made with common Equity Interests of the Company; provided that any amounts used for such an Investment or other acquisition that are not common Equity Interests of the Company (or any direct or indirect parent thereof) shall otherwise be permitted pursuant to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of a Subsidiary acquired after the Closing Date or of a Person merged or consolidated with any Subsidiary in accordance with this Section 7.02 and Section 7.04 after the Closing Date to the extent that such Investments were not made in contemplation of or in connection with such acquisition, merger or consolidation and were in existence on the date of such acquisition, merger or consolidation;</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 captive insurance subsidiary in accordance with any investment policy or any insurance statutes or regulations applicable to it;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constituting Acceptable Acquisitions;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purchase or other acquisition made pursuant to this </w:t>
      </w:r>
      <w:r>
        <w:rPr>
          <w:rFonts w:ascii="Times New Roman" w:cs="Times New Roman" w:eastAsia="Times New Roman" w:hAnsi="Times New Roman"/>
          <w:sz w:val="20"/>
          <w:szCs w:val="20"/>
          <w:u w:val="single" w:color="auto"/>
          <w:color w:val="auto"/>
        </w:rPr>
        <w:t>Section 7.02(l)</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760" w:right="20" w:firstLine="745"/>
        <w:spacing w:after="0" w:line="269" w:lineRule="auto"/>
        <w:tabs>
          <w:tab w:leader="none" w:pos="2048"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newly-acquired or created Subsidiary shall, to the extent applicable, comply with the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within the time periods required thereby;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0" w:name="page281"/>
    <w:bookmarkEnd w:id="280"/>
    <w:p>
      <w:pPr>
        <w:jc w:val="both"/>
        <w:ind w:left="760" w:firstLine="745"/>
        <w:spacing w:after="0" w:line="246" w:lineRule="auto"/>
        <w:tabs>
          <w:tab w:leader="none" w:pos="204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Person that is the subject of such acquisition, such acquisition has been (A) approved by the board of directors or other appropriate governing body of such Person or (B) recommended for approval by such board of directors or governing body to the shareholders, members, partners, or other owners of such Person, as required under applicable Law or by the Organization Documents of such Person and subsequently approved by the shareholders, members, partners, or other owners of such Person if such approval is required under applicable Law or by the Organization Documents of such Person;</w:t>
      </w:r>
    </w:p>
    <w:p>
      <w:pPr>
        <w:spacing w:after="0" w:line="180" w:lineRule="exact"/>
        <w:rPr>
          <w:rFonts w:ascii="Times New Roman" w:cs="Times New Roman" w:eastAsia="Times New Roman" w:hAnsi="Times New Roman"/>
          <w:sz w:val="20"/>
          <w:szCs w:val="20"/>
          <w:color w:val="auto"/>
        </w:rPr>
      </w:pPr>
    </w:p>
    <w:p>
      <w:pPr>
        <w:ind w:left="760" w:firstLine="745"/>
        <w:spacing w:after="0" w:line="273" w:lineRule="auto"/>
        <w:tabs>
          <w:tab w:leader="none" w:pos="204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effect to any such purchase or acquisition, no Event of Default shall have occurred and be continuing; and</w:t>
      </w:r>
    </w:p>
    <w:p>
      <w:pPr>
        <w:spacing w:after="0" w:line="155"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purchase or acquisition made by the Company that is structured as a merger or amalgamation, the Company shall be the surviving entity;</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(m)Investments in or relating to a Securitization Subsidiary that, in the good faith determination of the Company, are necessary or advisable to effect any Qualified Securitization Facility (including distributions or payments of Securitization Fees) or any repurchase obligation in connection therewith (including the contribution or lending of cash equivalents to Subsidiaries to finance the purchase of such assets from the Company or any Subsidiary or to otherwise fund required reserves);</w:t>
      </w:r>
    </w:p>
    <w:p>
      <w:pPr>
        <w:spacing w:after="0" w:line="180" w:lineRule="exact"/>
        <w:rPr>
          <w:sz w:val="20"/>
          <w:szCs w:val="20"/>
          <w:color w:val="auto"/>
        </w:rPr>
      </w:pPr>
    </w:p>
    <w:p>
      <w:pPr>
        <w:jc w:val="both"/>
        <w:ind w:firstLine="757"/>
        <w:spacing w:after="0" w:line="254" w:lineRule="auto"/>
        <w:tabs>
          <w:tab w:leader="none" w:pos="101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including in joint ventures or similar Persons that do not constitute wholly-owned Subsidiaries, in an aggregate outstanding amount (together with all other Investments made pursuant to this clause (n)) not to exceed 10% of the Company’s Consolidated Assets at such time, determined as of the end of the most recently completed fiscal quarter of the Company);</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may consummate any Corporate Restructuring; and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existing on the date hereof and any modification, replacement, renewal, reinvestment or extension thereof; provided that the amount of the original Investment is not increased except by the terms of such Investment to the extent as set forth on </w:t>
      </w:r>
      <w:r>
        <w:rPr>
          <w:rFonts w:ascii="Times New Roman" w:cs="Times New Roman" w:eastAsia="Times New Roman" w:hAnsi="Times New Roman"/>
          <w:sz w:val="20"/>
          <w:szCs w:val="20"/>
          <w:u w:val="single" w:color="auto"/>
          <w:color w:val="auto"/>
        </w:rPr>
        <w:t>Schedule 7.02</w:t>
      </w:r>
      <w:r>
        <w:rPr>
          <w:rFonts w:ascii="Times New Roman" w:cs="Times New Roman" w:eastAsia="Times New Roman" w:hAnsi="Times New Roman"/>
          <w:sz w:val="20"/>
          <w:szCs w:val="20"/>
          <w:color w:val="auto"/>
        </w:rPr>
        <w:t xml:space="preserve"> or as otherwise permitted by this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the foregoing or anything to the contrary in the Loan Documents, the Company will not, and will not permit any Subsidiary to, contribute (or otherwise transfer) any Material Intellectual Property owned by a Loan Party to a Subsidiary that is not a Loan Party; provided that the Company may transfer Intellectual Property relevant to a particular international business to any applicable Subsidiary in connection with bona fide tax planning.</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7.03 Indebtedness. </w:t>
      </w:r>
      <w:r>
        <w:rPr>
          <w:rFonts w:ascii="Times New Roman" w:cs="Times New Roman" w:eastAsia="Times New Roman" w:hAnsi="Times New Roman"/>
          <w:sz w:val="20"/>
          <w:szCs w:val="20"/>
          <w:color w:val="auto"/>
        </w:rPr>
        <w:t>Create, incur, assume or suffer to exist any Indebtedness, except:</w:t>
      </w:r>
    </w:p>
    <w:p>
      <w:pPr>
        <w:spacing w:after="0" w:line="220" w:lineRule="exact"/>
        <w:rPr>
          <w:sz w:val="20"/>
          <w:szCs w:val="20"/>
          <w:color w:val="auto"/>
        </w:rPr>
      </w:pPr>
    </w:p>
    <w:p>
      <w:pPr>
        <w:ind w:left="1020" w:hanging="263"/>
        <w:spacing w:after="0"/>
        <w:tabs>
          <w:tab w:leader="none" w:pos="1020"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the Obligations, including arising under the Loan Documents;</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outstanding on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Fourth Amendment Effective</w:t>
      </w:r>
      <w:r>
        <w:rPr>
          <w:rFonts w:ascii="Times New Roman" w:cs="Times New Roman" w:eastAsia="Times New Roman" w:hAnsi="Times New Roman"/>
          <w:sz w:val="20"/>
          <w:szCs w:val="20"/>
          <w:color w:val="auto"/>
        </w:rPr>
        <w:t xml:space="preserve"> Date; provided that in the case of Indebtedness in excess of $5,000,000 (individually) shall be set forth on </w:t>
      </w:r>
      <w:r>
        <w:rPr>
          <w:rFonts w:ascii="Times New Roman" w:cs="Times New Roman" w:eastAsia="Times New Roman" w:hAnsi="Times New Roman"/>
          <w:sz w:val="20"/>
          <w:szCs w:val="20"/>
          <w:u w:val="single" w:color="auto"/>
          <w:color w:val="auto"/>
        </w:rPr>
        <w:t>Schedule 7.01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of the Company or any Subsidiary in respect of Indebtedness otherwise permitted hereunder of the Company or any other Subsidiary;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1" w:name="page282"/>
    <w:bookmarkEnd w:id="281"/>
    <w:p>
      <w:pPr>
        <w:jc w:val="both"/>
        <w:ind w:firstLine="757"/>
        <w:spacing w:after="0" w:line="245" w:lineRule="auto"/>
        <w:tabs>
          <w:tab w:leader="none" w:pos="101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obligations (contingent or otherwise) of the Company or any Subsidiary existing or arising under any Swap Contract,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Indebtedness (including Capital Leases Obligations) of the Company or any of the Subsidiaries financing the acquisition, construction, repair, replacement or improvement of fixed or capital assets and (B) any refinancing of the foregoing the aggregate principal amount of Indebtedness that is outstanding in reliance on this subclause (e) shall not exceed 10% of the Company’s Consolidated Net Worth, determined as of the end of the most recently completed fiscal quarter of the Company;</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of the Company or any Subsidiary for Taxes that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 respect of Investments permitted by </w:t>
      </w:r>
      <w:r>
        <w:rPr>
          <w:rFonts w:ascii="Times New Roman" w:cs="Times New Roman" w:eastAsia="Times New Roman" w:hAnsi="Times New Roman"/>
          <w:sz w:val="20"/>
          <w:szCs w:val="20"/>
          <w:u w:val="single" w:color="auto"/>
          <w:color w:val="auto"/>
        </w:rPr>
        <w:t>Section 7.02(c)</w:t>
      </w:r>
      <w:r>
        <w:rPr>
          <w:rFonts w:ascii="Times New Roman" w:cs="Times New Roman" w:eastAsia="Times New Roman" w:hAnsi="Times New Roman"/>
          <w:sz w:val="20"/>
          <w:szCs w:val="20"/>
          <w:color w:val="auto"/>
        </w:rPr>
        <w:t xml:space="preserve"> and Indebtedness in the form of deferred purchase price, earn out or similar obligations to sellers in respect of Acceptable Acquisitions permitted under </w:t>
      </w:r>
      <w:r>
        <w:rPr>
          <w:rFonts w:ascii="Times New Roman" w:cs="Times New Roman" w:eastAsia="Times New Roman" w:hAnsi="Times New Roman"/>
          <w:sz w:val="20"/>
          <w:szCs w:val="20"/>
          <w:u w:val="single" w:color="auto"/>
          <w:color w:val="auto"/>
        </w:rPr>
        <w:t>Section 7.02(l)</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from the endorsement of instruments for collection or deposit in the ordinary course of business;</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24" w:val="left"/>
        </w:tabs>
        <w:numPr>
          <w:ilvl w:val="0"/>
          <w:numId w:val="221"/>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Subordinated Indebtedness incurred in connection with any Acceptable Acquisition;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immediately before and immediately after giving effect to the incurrence of such Indebtedness, no Event of Default shall have occurred and be continuing;</w:t>
      </w:r>
    </w:p>
    <w:p>
      <w:pPr>
        <w:spacing w:after="0" w:line="159" w:lineRule="exact"/>
        <w:rPr>
          <w:sz w:val="20"/>
          <w:szCs w:val="20"/>
          <w:color w:val="auto"/>
        </w:rPr>
      </w:pPr>
    </w:p>
    <w:p>
      <w:pPr>
        <w:ind w:left="1020" w:hanging="263"/>
        <w:spacing w:after="0"/>
        <w:tabs>
          <w:tab w:leader="none" w:pos="102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[Intentionally Omitted];</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the aggregate outstanding principal amount of which incurred under this clause (j) shall, at the time of (and after giving effect to) any incurrence thereof</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not exceed </w:t>
      </w:r>
      <w:r>
        <w:rPr>
          <w:rFonts w:ascii="Times New Roman" w:cs="Times New Roman" w:eastAsia="Times New Roman" w:hAnsi="Times New Roman"/>
          <w:sz w:val="20"/>
          <w:szCs w:val="20"/>
          <w:u w:val="single" w:color="auto"/>
          <w:color w:val="0000FF"/>
        </w:rPr>
        <w:t>(i) at any time prior to the Fourth Amendment Effective Date,</w:t>
      </w:r>
      <w:r>
        <w:rPr>
          <w:rFonts w:ascii="Times New Roman" w:cs="Times New Roman" w:eastAsia="Times New Roman" w:hAnsi="Times New Roman"/>
          <w:sz w:val="20"/>
          <w:szCs w:val="20"/>
          <w:color w:val="auto"/>
        </w:rPr>
        <w:t xml:space="preserve"> the greater of $130,000,000 and 50.0% of Consolidated TTM EBITDA </w:t>
      </w:r>
      <w:r>
        <w:rPr>
          <w:rFonts w:ascii="Times New Roman" w:cs="Times New Roman" w:eastAsia="Times New Roman" w:hAnsi="Times New Roman"/>
          <w:sz w:val="20"/>
          <w:szCs w:val="20"/>
          <w:color w:val="0000FF"/>
        </w:rPr>
        <w:t>and (ii) at any time from and after the Fourth Amendment Effective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$10,000,000</w:t>
      </w:r>
      <w:r>
        <w:rPr>
          <w:rFonts w:ascii="Times New Roman" w:cs="Times New Roman" w:eastAsia="Times New Roman" w:hAnsi="Times New Roman"/>
          <w:sz w:val="20"/>
          <w:szCs w:val="20"/>
          <w:color w:val="000000"/>
        </w:rPr>
        <w:t>;</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arising under Qualified Securitization Facility;</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FF0000"/>
          <w:strike w:val="1"/>
        </w:rPr>
        <w:t xml:space="preserve">unsecured Indebtedness; </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 xml:space="preserve"> that both immediately before and immediately after giving effect to the incurrence of such Indebtedness, (i) the Company is in compliance with the financial covenants set forth in </w:t>
      </w:r>
      <w:r>
        <w:rPr>
          <w:rFonts w:ascii="Times New Roman" w:cs="Times New Roman" w:eastAsia="Times New Roman" w:hAnsi="Times New Roman"/>
          <w:sz w:val="20"/>
          <w:szCs w:val="20"/>
          <w:u w:val="single" w:color="auto"/>
          <w:color w:val="FF0000"/>
          <w:strike w:val="1"/>
        </w:rPr>
        <w:t>Section 7.11</w:t>
      </w:r>
      <w:r>
        <w:rPr>
          <w:rFonts w:ascii="Times New Roman" w:cs="Times New Roman" w:eastAsia="Times New Roman" w:hAnsi="Times New Roman"/>
          <w:sz w:val="20"/>
          <w:szCs w:val="20"/>
          <w:color w:val="FF0000"/>
          <w:strike w:val="1"/>
        </w:rPr>
        <w:t xml:space="preserve"> on a </w:t>
      </w:r>
      <w:r>
        <w:rPr>
          <w:rFonts w:ascii="Times New Roman" w:cs="Times New Roman" w:eastAsia="Times New Roman" w:hAnsi="Times New Roman"/>
          <w:sz w:val="20"/>
          <w:szCs w:val="20"/>
          <w:i w:val="1"/>
          <w:iCs w:val="1"/>
          <w:color w:val="FF0000"/>
          <w:strike w:val="1"/>
        </w:rPr>
        <w:t>pro forma</w:t>
      </w:r>
      <w:r>
        <w:rPr>
          <w:rFonts w:ascii="Times New Roman" w:cs="Times New Roman" w:eastAsia="Times New Roman" w:hAnsi="Times New Roman"/>
          <w:sz w:val="20"/>
          <w:szCs w:val="20"/>
          <w:color w:val="FF0000"/>
          <w:strike w:val="1"/>
        </w:rPr>
        <w:t xml:space="preserve"> basis calculated as of the most recent measurement period for which financial statements have been provided pursuant to </w:t>
      </w:r>
      <w:r>
        <w:rPr>
          <w:rFonts w:ascii="Times New Roman" w:cs="Times New Roman" w:eastAsia="Times New Roman" w:hAnsi="Times New Roman"/>
          <w:sz w:val="20"/>
          <w:szCs w:val="20"/>
          <w:u w:val="single" w:color="auto"/>
          <w:color w:val="FF0000"/>
          <w:strike w:val="1"/>
        </w:rPr>
        <w:t>Section 6.01</w:t>
      </w:r>
      <w:r>
        <w:rPr>
          <w:rFonts w:ascii="Times New Roman" w:cs="Times New Roman" w:eastAsia="Times New Roman" w:hAnsi="Times New Roman"/>
          <w:sz w:val="20"/>
          <w:szCs w:val="20"/>
          <w:color w:val="FF0000"/>
          <w:strike w:val="1"/>
        </w:rPr>
        <w:t xml:space="preserve"> and (ii) no Event of Default shall have occurred and be continuing;</w:t>
      </w:r>
      <w:r>
        <w:rPr>
          <w:rFonts w:ascii="Times New Roman" w:cs="Times New Roman" w:eastAsia="Times New Roman" w:hAnsi="Times New Roman"/>
          <w:sz w:val="20"/>
          <w:szCs w:val="20"/>
          <w:u w:val="single" w:color="auto"/>
          <w:color w:val="0000FF"/>
          <w:strike w:val="1"/>
        </w:rPr>
        <w:t>[Intentionally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-1182370</wp:posOffset>
            </wp:positionV>
            <wp:extent cx="408432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32">
                      <a:extLst>
                        <a:ext uri="{28A0092B-C50C-407E-A947-70E740481C1C}"/>
                      </a:extLst>
                    </a:blip>
                    <a:srcRect/>
                    <a:stretch>
                      <a:fillRect/>
                    </a:stretch>
                  </pic:blipFill>
                  <pic:spPr bwMode="auto">
                    <a:xfrm>
                      <a:off x="0" y="0"/>
                      <a:ext cx="4084320" cy="8255"/>
                    </a:xfrm>
                    <a:prstGeom prst="rect">
                      <a:avLst/>
                    </a:prstGeom>
                    <a:noFill/>
                  </pic:spPr>
                </pic:pic>
              </a:graphicData>
            </a:graphic>
          </wp:anchor>
        </w:drawing>
        <w:drawing>
          <wp:anchor simplePos="0" relativeHeight="251657728" behindDoc="1" locked="0" layoutInCell="0" allowOverlap="1">
            <wp:simplePos x="0" y="0"/>
            <wp:positionH relativeFrom="column">
              <wp:posOffset>3046730</wp:posOffset>
            </wp:positionH>
            <wp:positionV relativeFrom="paragraph">
              <wp:posOffset>-1165225</wp:posOffset>
            </wp:positionV>
            <wp:extent cx="408432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33">
                      <a:extLst>
                        <a:ext uri="{28A0092B-C50C-407E-A947-70E740481C1C}"/>
                      </a:extLst>
                    </a:blip>
                    <a:srcRect/>
                    <a:stretch>
                      <a:fillRect/>
                    </a:stretch>
                  </pic:blipFill>
                  <pic:spPr bwMode="auto">
                    <a:xfrm>
                      <a:off x="0" y="0"/>
                      <a:ext cx="4084320"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(m)(A) (1) Indebtedness of any Person that becomes a Subsidiary (or of any Person not previously a Subsidiary that is merged or consolidated with or into the Company or a Subsidiary) after the effective date as a result of an Acceptable Acquisition or other Investment (and any guarantee of such Indebtedness by a Subsidiary of such Person), (2) Indebtedness of any Person that is assumed by the Company or any Subsidiary in connection with an acquisition of assets by the Company or such Subsidiary in an Acceptable Acquisition or other Investment and (3) any guarantee of Indebtedness described in the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2" w:name="page283"/>
    <w:bookmarkEnd w:id="28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foregoing clauses (1) and (2) by any Person that so becomes a Subsidiary, that is the survivor of a merger or consolidation with such Person or that is a Subsidiary of such Person; provided that such Indebtedness (or guarantee thereof) is not incurred in contemplation of such Acceptable Acquisition or other Investment, in each case subject to pro forma compliance with the covenants in </w:t>
      </w: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and (B) any refinancings, refundings, renewals or extensions of Indebtedness incurred pursuant to the foregoing subclause (A);</w:t>
      </w:r>
    </w:p>
    <w:p>
      <w:pPr>
        <w:spacing w:after="0" w:line="180" w:lineRule="exact"/>
        <w:rPr>
          <w:sz w:val="20"/>
          <w:szCs w:val="20"/>
          <w:color w:val="auto"/>
        </w:rPr>
      </w:pPr>
    </w:p>
    <w:p>
      <w:pPr>
        <w:ind w:firstLine="757"/>
        <w:spacing w:after="0" w:line="269"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employees and other service providers of the Company and the Subsidiaries incurred in the ordinary course of business;</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obligations under deferred compensation or other similar arrangements incurred in connection with or any Acceptable Acquisition or other Investment permitted hereunder;</w:t>
      </w:r>
    </w:p>
    <w:p>
      <w:pPr>
        <w:spacing w:after="0" w:line="159"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Management Agreements and other Indebtedness in respect of netting services, overdraft protections and similar arrangements and Indebtedness arising from the honoring of a bank or other financial institution of a check, draft or similar instrument drawn against insufficient funds, (including Indebtedness owed on a short term basis of no longer than 30 days to banks and other financial institutions incurred in the ordinary course of business of the Company and its Subsidiaries with such banks or financial institutions that arises in connection with ordinary banking arrangements to manage cash balances of the Company and its Subsidiaries);</w:t>
      </w:r>
    </w:p>
    <w:p>
      <w:pPr>
        <w:spacing w:after="0" w:line="18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financing of insurance premiums or (ii) take-or-pay obligations contained in supply arrangements, in each case in the ordinary course of business;</w:t>
      </w:r>
    </w:p>
    <w:p>
      <w:pPr>
        <w:spacing w:after="0" w:line="159" w:lineRule="exact"/>
        <w:rPr>
          <w:rFonts w:ascii="Times New Roman" w:cs="Times New Roman" w:eastAsia="Times New Roman" w:hAnsi="Times New Roman"/>
          <w:sz w:val="20"/>
          <w:szCs w:val="20"/>
          <w:color w:val="auto"/>
        </w:rPr>
      </w:pPr>
    </w:p>
    <w:p>
      <w:pPr>
        <w:jc w:val="both"/>
        <w:ind w:right="20" w:firstLine="757"/>
        <w:spacing w:after="0" w:line="249"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in respect of performance, bid, appeal and surety bonds and performance, bankers’ acceptance facilities and completion guarantees and similar obligations provided by the Company or any of its Subsidiaries or obligations in respect of letters of credit, bank guarantees or similar instruments related thereto, in each case in the ordinary course of business or consistent with past practice; and</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supported by a letter of credit issued pursuant to this Agreement or any other letter of credit, bank guarantee or similar instrument permitted by this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in a principal amount not to exceed the face amount of such letter of credit, bank guarantee or such other instrument.</w:t>
      </w:r>
    </w:p>
    <w:p>
      <w:pPr>
        <w:spacing w:after="0" w:line="170"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7.04 Fundamental Changes. </w:t>
      </w:r>
      <w:r>
        <w:rPr>
          <w:rFonts w:ascii="Times New Roman" w:cs="Times New Roman" w:eastAsia="Times New Roman" w:hAnsi="Times New Roman"/>
          <w:sz w:val="20"/>
          <w:szCs w:val="20"/>
          <w:color w:val="auto"/>
        </w:rPr>
        <w:t>Merge, dissolve, liquidate, consolidate or amalgamate with or into another Person, or Dispose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(whether in one transaction or in a series of transactions) all or substantially all of its assets (whether now owned or hereafter acquired) to or in favor of any Person, except that:</w:t>
      </w:r>
    </w:p>
    <w:p>
      <w:pPr>
        <w:spacing w:after="0" w:line="173" w:lineRule="exact"/>
        <w:rPr>
          <w:sz w:val="20"/>
          <w:szCs w:val="20"/>
          <w:color w:val="auto"/>
        </w:rPr>
      </w:pPr>
    </w:p>
    <w:p>
      <w:pPr>
        <w:ind w:firstLine="757"/>
        <w:spacing w:after="0" w:line="269" w:lineRule="auto"/>
        <w:tabs>
          <w:tab w:leader="none" w:pos="101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may merge or amalgamate with (i)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the continuing or surviving Person, or (ii) any one or more other Subsidiaries;</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Dispose of all or substantially all of its assets (upon voluntary liquidation or otherwise) to the Company or to another Subsidiary;</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may dissolve, liquidate or wind up its affairs at any time provided that such dissolution, liquidation or winding up, as applicable, could not reasonably be expected to have a Material Adverse Effect;</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Acceptable Acquisition permitted under </w:t>
      </w:r>
      <w:r>
        <w:rPr>
          <w:rFonts w:ascii="Times New Roman" w:cs="Times New Roman" w:eastAsia="Times New Roman" w:hAnsi="Times New Roman"/>
          <w:sz w:val="20"/>
          <w:szCs w:val="20"/>
          <w:u w:val="single" w:color="auto"/>
          <w:color w:val="auto"/>
        </w:rPr>
        <w:t>Section 7.02(l)</w:t>
      </w:r>
      <w:r>
        <w:rPr>
          <w:rFonts w:ascii="Times New Roman" w:cs="Times New Roman" w:eastAsia="Times New Roman" w:hAnsi="Times New Roman"/>
          <w:sz w:val="20"/>
          <w:szCs w:val="20"/>
          <w:color w:val="auto"/>
        </w:rPr>
        <w:t>, any Subsidiary of the Company may merge into or consolidate or amalgamate with any other Person or permit any other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20"/>
          <w:szCs w:val="20"/>
          <w:color w:val="auto"/>
        </w:rPr>
        <w:t>Person to merge into or consolidate or amalgamate with it, so long as the surviving Person is a Subsidiary; and</w:t>
      </w:r>
    </w:p>
    <w:p>
      <w:pPr>
        <w:spacing w:after="0" w:line="216" w:lineRule="exact"/>
        <w:rPr>
          <w:sz w:val="20"/>
          <w:szCs w:val="20"/>
          <w:color w:val="auto"/>
        </w:rPr>
      </w:pPr>
    </w:p>
    <w:p>
      <w:pPr>
        <w:ind w:left="1020" w:hanging="263"/>
        <w:spacing w:after="0"/>
        <w:tabs>
          <w:tab w:leader="none" w:pos="102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merge with and into a Domestic Subsidiary in order to effect a change of the state of incorporation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of the above involving any Loan Party, (x) the Company shall notify the Administrative Agent as may be required by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and (y) the surviving Person shall, if applicable and not an Excluded Subsidiary, assume the obligations of the merged Person pursuant to any of the Loan Documents and shall execute such documents and agreements as may be reasonably required by the Administrative Agent in connection therewith.</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7.05 Dispositions. </w:t>
      </w:r>
      <w:r>
        <w:rPr>
          <w:rFonts w:ascii="Times New Roman" w:cs="Times New Roman" w:eastAsia="Times New Roman" w:hAnsi="Times New Roman"/>
          <w:sz w:val="20"/>
          <w:szCs w:val="20"/>
          <w:color w:val="auto"/>
        </w:rPr>
        <w:t>Make any Disposition or enter into any agreement to make any Disposition, except:</w:t>
      </w:r>
    </w:p>
    <w:p>
      <w:pPr>
        <w:spacing w:after="0" w:line="220" w:lineRule="exact"/>
        <w:rPr>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inventory and Investments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 of obsolete or worn out property or any other property, whether now owned or hereafter acquired, that is no longer used or useful in the conduct of the businesses of the Company and its Subsidiaries, (ii) in the ordinary course of business consisting of the abandonment, expiration, cancellation, non-renewal or discontinuance of intellectual property rights which, in the reasonable good faith determination of the Company, is not materially disadvantageous to the business of the Company, and (iii) in the form of the surrender or waiver of contractual rights and the settlement or waiver of contractual or litigation claims in the ordinary course of business;</w:t>
      </w:r>
    </w:p>
    <w:p>
      <w:pPr>
        <w:spacing w:after="0" w:line="184" w:lineRule="exact"/>
        <w:rPr>
          <w:rFonts w:ascii="Times New Roman" w:cs="Times New Roman" w:eastAsia="Times New Roman" w:hAnsi="Times New Roman"/>
          <w:sz w:val="20"/>
          <w:szCs w:val="20"/>
          <w:color w:val="auto"/>
        </w:rPr>
      </w:pPr>
    </w:p>
    <w:p>
      <w:pPr>
        <w:jc w:val="both"/>
        <w:ind w:right="20" w:firstLine="757"/>
        <w:spacing w:after="0" w:line="254" w:lineRule="auto"/>
        <w:tabs>
          <w:tab w:leader="none" w:pos="101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by any Subsidiary to the Company or to a Subsidiary;</w:t>
      </w:r>
    </w:p>
    <w:p>
      <w:pPr>
        <w:spacing w:after="0" w:line="21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 7.02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7.04</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7.06</w:t>
      </w:r>
      <w:r>
        <w:rPr>
          <w:rFonts w:ascii="Times New Roman" w:cs="Times New Roman" w:eastAsia="Times New Roman" w:hAnsi="Times New Roman"/>
          <w:sz w:val="20"/>
          <w:szCs w:val="20"/>
          <w:color w:val="auto"/>
        </w:rPr>
        <w:t xml:space="preserve"> or in connection with transactions permitted under </w:t>
      </w:r>
      <w:r>
        <w:rPr>
          <w:rFonts w:ascii="Times New Roman" w:cs="Times New Roman" w:eastAsia="Times New Roman" w:hAnsi="Times New Roman"/>
          <w:sz w:val="20"/>
          <w:szCs w:val="20"/>
          <w:u w:val="single" w:color="auto"/>
          <w:color w:val="auto"/>
        </w:rPr>
        <w:t>Section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7.03(e)</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Dispositions not otherwise permitted under this </w:t>
      </w:r>
      <w:r>
        <w:rPr>
          <w:rFonts w:ascii="Times New Roman" w:cs="Times New Roman" w:eastAsia="Times New Roman" w:hAnsi="Times New Roman"/>
          <w:sz w:val="20"/>
          <w:szCs w:val="20"/>
          <w:u w:val="single" w:color="auto"/>
          <w:color w:val="auto"/>
        </w:rPr>
        <w:t>Section 7.05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any </w:t>
      </w:r>
      <w:r>
        <w:rPr>
          <w:rFonts w:ascii="Times New Roman" w:cs="Times New Roman" w:eastAsia="Times New Roman" w:hAnsi="Times New Roman"/>
          <w:sz w:val="20"/>
          <w:szCs w:val="20"/>
          <w:u w:val="single" w:color="auto"/>
          <w:color w:val="0000FF"/>
        </w:rPr>
        <w:t>such</w:t>
      </w:r>
      <w:r>
        <w:rPr>
          <w:rFonts w:ascii="Times New Roman" w:cs="Times New Roman" w:eastAsia="Times New Roman" w:hAnsi="Times New Roman"/>
          <w:sz w:val="20"/>
          <w:szCs w:val="20"/>
          <w:color w:val="auto"/>
        </w:rPr>
        <w:t xml:space="preserve"> Disposition </w:t>
      </w:r>
      <w:r>
        <w:rPr>
          <w:rFonts w:ascii="Times New Roman" w:cs="Times New Roman" w:eastAsia="Times New Roman" w:hAnsi="Times New Roman"/>
          <w:sz w:val="20"/>
          <w:szCs w:val="20"/>
          <w:color w:val="FF0000"/>
          <w:strike w:val="1"/>
        </w:rPr>
        <w:t>in excess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$5,000,000</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(i) at least 75% of the consideration paid in connection therewith shall be cash or Cash Equivalents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FF0000"/>
          <w:strike w:val="1"/>
        </w:rPr>
        <w:t>provided</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FF0000"/>
          <w:strike w:val="1"/>
        </w:rPr>
        <w:t>however</w:t>
      </w:r>
      <w:r>
        <w:rPr>
          <w:rFonts w:ascii="Times New Roman" w:cs="Times New Roman" w:eastAsia="Times New Roman" w:hAnsi="Times New Roman"/>
          <w:sz w:val="20"/>
          <w:szCs w:val="20"/>
          <w:color w:val="FF0000"/>
          <w:strike w:val="1"/>
        </w:rPr>
        <w:t>, that for</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 xml:space="preserve">the purposes of this </w:t>
      </w:r>
      <w:r>
        <w:rPr>
          <w:rFonts w:ascii="Times New Roman" w:cs="Times New Roman" w:eastAsia="Times New Roman" w:hAnsi="Times New Roman"/>
          <w:sz w:val="20"/>
          <w:szCs w:val="20"/>
          <w:u w:val="single" w:color="auto"/>
          <w:color w:val="FF0000"/>
          <w:strike w:val="1"/>
        </w:rPr>
        <w:t>clause (f)</w:t>
      </w:r>
      <w:r>
        <w:rPr>
          <w:rFonts w:ascii="Times New Roman" w:cs="Times New Roman" w:eastAsia="Times New Roman" w:hAnsi="Times New Roman"/>
          <w:sz w:val="20"/>
          <w:szCs w:val="20"/>
          <w:color w:val="FF0000"/>
          <w:strike w:val="1"/>
        </w:rPr>
        <w:t xml:space="preserve">, the following shall be deemed to be cash: non-cash consideration received by </w:t>
      </w:r>
      <w:r>
        <w:rPr>
          <w:rFonts w:ascii="Times New Roman" w:cs="Times New Roman" w:eastAsia="Times New Roman" w:hAnsi="Times New Roman"/>
          <w:sz w:val="20"/>
          <w:szCs w:val="20"/>
          <w:color w:val="008000"/>
          <w:strike w:val="1"/>
        </w:rPr>
        <w:t>the Company and its</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8000"/>
          <w:strike w:val="1"/>
        </w:rPr>
        <w:t xml:space="preserve">Subsidiaries </w:t>
      </w:r>
      <w:r>
        <w:rPr>
          <w:rFonts w:ascii="Times New Roman" w:cs="Times New Roman" w:eastAsia="Times New Roman" w:hAnsi="Times New Roman"/>
          <w:sz w:val="20"/>
          <w:szCs w:val="20"/>
          <w:color w:val="FF0000"/>
          <w:strike w:val="1"/>
        </w:rPr>
        <w:t>for all Dispositions under this</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u w:val="single" w:color="auto"/>
          <w:color w:val="FF0000"/>
          <w:strike w:val="1"/>
        </w:rPr>
        <w:t>clause (f)</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having an aggregate Fair Market Value (determined as of the closing of the applicable</w:t>
      </w:r>
      <w:r>
        <w:rPr>
          <w:rFonts w:ascii="Times New Roman" w:cs="Times New Roman" w:eastAsia="Times New Roman" w:hAnsi="Times New Roman"/>
          <w:sz w:val="20"/>
          <w:szCs w:val="20"/>
          <w:color w:val="008000"/>
          <w:strike w:val="1"/>
        </w:rPr>
        <w:t xml:space="preserve"> </w:t>
      </w:r>
      <w:r>
        <w:rPr>
          <w:rFonts w:ascii="Times New Roman" w:cs="Times New Roman" w:eastAsia="Times New Roman" w:hAnsi="Times New Roman"/>
          <w:sz w:val="20"/>
          <w:szCs w:val="20"/>
          <w:color w:val="FF0000"/>
          <w:strike w:val="1"/>
        </w:rPr>
        <w:t xml:space="preserve">Disposition for which such non-cash consideration is received) not to exceed 3% of the Company’s Consolidated Assets determined as of the end of the most recently completed </w:t>
      </w:r>
      <w:r>
        <w:rPr>
          <w:rFonts w:ascii="Times New Roman" w:cs="Times New Roman" w:eastAsia="Times New Roman" w:hAnsi="Times New Roman"/>
          <w:sz w:val="20"/>
          <w:szCs w:val="20"/>
          <w:color w:val="008000"/>
          <w:strike w:val="1"/>
        </w:rPr>
        <w:t>fiscal quarter of the Company</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paid contemporaneously with consummation of the transaction and shall</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color w:val="000000"/>
          <w:strike w:val="1"/>
        </w:rPr>
        <w:t xml:space="preserve">be in an amount not less than the Fair Market Value of the property disposed of, (ii) such transaction does not involve the sale or other disposition of a minority Equity Interests in any Subsidiary Guarantor, and (iii) such transaction does not involve a sale or other disposition of receivables other than receivables owned by or attributable to other property concurrently being disposed of in a transaction otherwise permitted under this </w:t>
      </w:r>
      <w:r>
        <w:rPr>
          <w:rFonts w:ascii="Times New Roman" w:cs="Times New Roman" w:eastAsia="Times New Roman" w:hAnsi="Times New Roman"/>
          <w:sz w:val="20"/>
          <w:szCs w:val="20"/>
          <w:u w:val="single" w:color="auto"/>
          <w:color w:val="000000"/>
          <w:strike w:val="1"/>
        </w:rPr>
        <w:t>Section 7.05</w:t>
      </w:r>
      <w:r>
        <w:rPr>
          <w:rFonts w:ascii="Times New Roman" w:cs="Times New Roman" w:eastAsia="Times New Roman" w:hAnsi="Times New Roman"/>
          <w:sz w:val="20"/>
          <w:szCs w:val="20"/>
          <w:color w:val="000000"/>
          <w:strike w:val="1"/>
        </w:rPr>
        <w:t>;</w:t>
      </w:r>
    </w:p>
    <w:p>
      <w:pPr>
        <w:spacing w:after="0" w:line="192"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Receivables and Related Assets in connection with Permitted Factoring Program;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4" w:name="page285"/>
    <w:bookmarkEnd w:id="284"/>
    <w:p>
      <w:pPr>
        <w:jc w:val="both"/>
        <w:ind w:firstLine="757"/>
        <w:spacing w:after="0" w:line="254" w:lineRule="auto"/>
        <w:tabs>
          <w:tab w:leader="none" w:pos="101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of Securitization Assets in connection with any Qualified Securitization Facility or the disposition of an account receivable in connection with the collection or compromise thereof in the ordinary course of business or consistent with industry practice or in bankruptcy or similar proceeding;</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by a captive insurance subsidiary of Investments; and</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subleases, service agreements, covenants not to sue, licenses or sublicenses (including agreements involving the provision of software under an open source license, in copy or as a service, and related data and services), in each case that do not materially interfere with the business of the Company and the Subsidiaries, taken as a whole.</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the foregoing or anything else herein to the contrary, the Company will not, and will not permit any Subsidiary to, permit any transfer of Material Intellectual Property owned by a Loan Party to a Subsidiary that is not a Loan Party; provided that the Company may transfer Intellectual Property relevant to a particular international business to any applicable Subsidiary in connection with bona fide tax planning.</w:t>
      </w:r>
    </w:p>
    <w:p>
      <w:pPr>
        <w:spacing w:after="0" w:line="176"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7.06 Restricted Payments. </w:t>
      </w:r>
      <w:r>
        <w:rPr>
          <w:rFonts w:ascii="Times New Roman" w:cs="Times New Roman" w:eastAsia="Times New Roman" w:hAnsi="Times New Roman"/>
          <w:sz w:val="20"/>
          <w:szCs w:val="20"/>
          <w:color w:val="auto"/>
        </w:rPr>
        <w:t>Declare or make, directly or indirectly, any Restricted Payment, or incur any obligation (contingent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to do so, except that, so long as no Default shall have occurred and be continuing at the time of any action described below or would result therefrom:</w:t>
      </w:r>
    </w:p>
    <w:p>
      <w:pPr>
        <w:spacing w:after="0" w:line="173" w:lineRule="exact"/>
        <w:rPr>
          <w:sz w:val="20"/>
          <w:szCs w:val="20"/>
          <w:color w:val="auto"/>
        </w:rPr>
      </w:pPr>
    </w:p>
    <w:p>
      <w:pPr>
        <w:jc w:val="both"/>
        <w:ind w:firstLine="757"/>
        <w:spacing w:after="0" w:line="254" w:lineRule="auto"/>
        <w:tabs>
          <w:tab w:leader="none" w:pos="10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Subsidiary may make Restricted Payments to the Company, any other Subsidiary and any other Person that owns an Equity Interest in such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Subsidiary may declare and make dividend payments or other distributions payable solely in the common stock or other common Equity Interests of such Person;</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each Subsidiary may purchase, redeem or otherwise acquire Equity Interests issued by it with the proceeds received from the substantially concurrent issue of new shares of its common stock or other common Equity Interests;</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may declare or pay cash dividends or other similar payments to its stockholders, or repurchase its Equity Interests, or make other Restricted Payments but only so long as, both before and after giving effect to the aggregate amount of such dividends and similar payments and repurchases and Restricted Payments paid or made, the Consolidated Secured Leverage Ratio would be less than </w:t>
      </w:r>
      <w:r>
        <w:rPr>
          <w:rFonts w:ascii="Times New Roman" w:cs="Times New Roman" w:eastAsia="Times New Roman" w:hAnsi="Times New Roman"/>
          <w:sz w:val="20"/>
          <w:szCs w:val="20"/>
          <w:color w:val="FF0000"/>
          <w:strike w:val="1"/>
        </w:rPr>
        <w:t>4.00</w:t>
      </w:r>
      <w:r>
        <w:rPr>
          <w:rFonts w:ascii="Times New Roman" w:cs="Times New Roman" w:eastAsia="Times New Roman" w:hAnsi="Times New Roman"/>
          <w:sz w:val="20"/>
          <w:szCs w:val="20"/>
          <w:u w:val="single" w:color="auto"/>
          <w:color w:val="0000FF"/>
        </w:rPr>
        <w:t>3.00</w:t>
      </w:r>
      <w:r>
        <w:rPr>
          <w:rFonts w:ascii="Times New Roman" w:cs="Times New Roman" w:eastAsia="Times New Roman" w:hAnsi="Times New Roman"/>
          <w:sz w:val="20"/>
          <w:szCs w:val="20"/>
          <w:color w:val="000000"/>
        </w:rPr>
        <w:t>:1.00;</w:t>
      </w:r>
    </w:p>
    <w:p>
      <w:pPr>
        <w:spacing w:after="0" w:line="17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make distributions or payments of Securitization Fees;</w:t>
      </w:r>
    </w:p>
    <w:p>
      <w:pPr>
        <w:spacing w:after="0" w:line="215" w:lineRule="exact"/>
        <w:rPr>
          <w:rFonts w:ascii="Times New Roman" w:cs="Times New Roman" w:eastAsia="Times New Roman" w:hAnsi="Times New Roman"/>
          <w:sz w:val="20"/>
          <w:szCs w:val="20"/>
          <w:color w:val="auto"/>
        </w:rPr>
      </w:pPr>
    </w:p>
    <w:p>
      <w:pPr>
        <w:jc w:val="both"/>
        <w:ind w:firstLine="757"/>
        <w:spacing w:after="0" w:line="266" w:lineRule="auto"/>
        <w:tabs>
          <w:tab w:leader="none" w:pos="1018"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or any Subsidiary may make payments made or expected to be made by the Company or any Subsidiary in respect of withholding or similar taxes payable upon exercise of Equity Interests by any future, present or former employee, director, officer, manager, consultant or other service provider and any repurchases of Equity Interests deemed to occur upon exercise of stock options or warrants if such Equity Interests represent a portion of the exercise price of such options or warrants or required withholding or similar taxes;</w:t>
      </w:r>
    </w:p>
    <w:p>
      <w:pPr>
        <w:spacing w:after="0" w:line="165"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any Subsidiary may make payments or other adjustments to outstanding Equity Interests in accordance with any management equity plan, equity option plan or any other similar employee benefit plan, agreement or arrangement in connection with any Restricted Payment;</w:t>
      </w:r>
    </w:p>
    <w:p>
      <w:pPr>
        <w:spacing w:after="0" w:line="17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and its Subsidiaries may consummate any Corporate Restructuring.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5" w:name="page286"/>
    <w:bookmarkEnd w:id="285"/>
    <w:p>
      <w:pPr>
        <w:jc w:val="both"/>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7.07 Change in Nature of Business. </w:t>
      </w:r>
      <w:r>
        <w:rPr>
          <w:rFonts w:ascii="Times New Roman" w:cs="Times New Roman" w:eastAsia="Times New Roman" w:hAnsi="Times New Roman"/>
          <w:sz w:val="20"/>
          <w:szCs w:val="20"/>
          <w:color w:val="auto"/>
        </w:rPr>
        <w:t>Change or alter, in any material respect, the nature of its business from the nature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engaged in by it on the Closing Date (or reasonable extensions thereof).</w:t>
      </w:r>
    </w:p>
    <w:p>
      <w:pPr>
        <w:spacing w:after="0" w:line="152"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 xml:space="preserve">7.08 Transactions with Affiliates. </w:t>
      </w:r>
      <w:r>
        <w:rPr>
          <w:rFonts w:ascii="Times New Roman" w:cs="Times New Roman" w:eastAsia="Times New Roman" w:hAnsi="Times New Roman"/>
          <w:sz w:val="20"/>
          <w:szCs w:val="20"/>
          <w:color w:val="auto"/>
        </w:rPr>
        <w:t>Enter into any transaction of any kind with any Affiliate of the Company, whether or not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ordinary course of business, other than on fair and reasonable terms substantially as favorable to the Company or such Subsidiary as would be obtainable by the Company or such Subsidiary at the time in a comparable arm’s length transaction with a Person other than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 (a) sales of Securitization Assets in connection with any Qualified Securitization Facility and any other transaction effected in connection with a Qualified Securitization Facility or a financing related thereto; and (b) transactions not otherwise prohibited under any Loan Document (i) between or among the Company and any Subsidiary; and (ii) and in existence on the Closing Date and listed on </w:t>
      </w:r>
      <w:r>
        <w:rPr>
          <w:rFonts w:ascii="Times New Roman" w:cs="Times New Roman" w:eastAsia="Times New Roman" w:hAnsi="Times New Roman"/>
          <w:sz w:val="20"/>
          <w:szCs w:val="20"/>
          <w:u w:val="single" w:color="auto"/>
          <w:color w:val="auto"/>
        </w:rPr>
        <w:t>Schedule 7.08</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left="100"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7.09 Burdensome Agreements. </w:t>
      </w:r>
      <w:r>
        <w:rPr>
          <w:rFonts w:ascii="Times New Roman" w:cs="Times New Roman" w:eastAsia="Times New Roman" w:hAnsi="Times New Roman"/>
          <w:sz w:val="20"/>
          <w:szCs w:val="20"/>
          <w:color w:val="auto"/>
        </w:rPr>
        <w:t>Enter into any Contractual Obligation (other than this Agreement or any other Loan Document)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that (a) limits the ability (i) of any Subsidiary to make Restricted Payments to the Company or any Subsidiary Guarantor or to otherwise transfer property to the Company or any Subsidiary Guarantor, (ii) of any Subsidiary to guarantee the Indebtedness of the Company or (iii) of the Company or any Subsidiary to create, incur, assume or suffer to exist Liens on property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this clause (iii) shall not prohibit any negative pledge incurred or provided in favor of any holder of Indebtedness permitted under </w:t>
      </w:r>
      <w:r>
        <w:rPr>
          <w:rFonts w:ascii="Times New Roman" w:cs="Times New Roman" w:eastAsia="Times New Roman" w:hAnsi="Times New Roman"/>
          <w:sz w:val="20"/>
          <w:szCs w:val="20"/>
          <w:u w:val="single" w:color="auto"/>
          <w:color w:val="auto"/>
        </w:rPr>
        <w:t>Section 7.03(e)</w:t>
      </w:r>
      <w:r>
        <w:rPr>
          <w:rFonts w:ascii="Times New Roman" w:cs="Times New Roman" w:eastAsia="Times New Roman" w:hAnsi="Times New Roman"/>
          <w:sz w:val="20"/>
          <w:szCs w:val="20"/>
          <w:color w:val="auto"/>
        </w:rPr>
        <w:t xml:space="preserve"> (solely to the extent any such negative pledge relates to the property financed by or the subject of such Indebtedness); or (b) requires the grant of a Lien to secure an obligation of such Person if a Lien is granted to secure another obligation of such Person; provided the restrictions in this </w:t>
      </w:r>
      <w:r>
        <w:rPr>
          <w:rFonts w:ascii="Times New Roman" w:cs="Times New Roman" w:eastAsia="Times New Roman" w:hAnsi="Times New Roman"/>
          <w:sz w:val="20"/>
          <w:szCs w:val="20"/>
          <w:u w:val="single" w:color="auto"/>
          <w:color w:val="auto"/>
        </w:rPr>
        <w:t>Section 7.09</w:t>
      </w:r>
      <w:r>
        <w:rPr>
          <w:rFonts w:ascii="Times New Roman" w:cs="Times New Roman" w:eastAsia="Times New Roman" w:hAnsi="Times New Roman"/>
          <w:sz w:val="20"/>
          <w:szCs w:val="20"/>
          <w:color w:val="auto"/>
        </w:rPr>
        <w:t xml:space="preserve"> shall not apply to:</w:t>
      </w:r>
    </w:p>
    <w:p>
      <w:pPr>
        <w:spacing w:after="0" w:line="186" w:lineRule="exact"/>
        <w:rPr>
          <w:sz w:val="20"/>
          <w:szCs w:val="20"/>
          <w:color w:val="auto"/>
        </w:rPr>
      </w:pPr>
    </w:p>
    <w:p>
      <w:pPr>
        <w:jc w:val="both"/>
        <w:ind w:firstLine="757"/>
        <w:spacing w:after="0" w:line="254"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agreements relating to the sale of a Subsidiary or any assets pending such sale; provided that such restrictions and conditions apply only to the Subsidiary or assets that is or are to be sold and such sale is permitted hereunder;</w:t>
      </w:r>
    </w:p>
    <w:p>
      <w:pPr>
        <w:spacing w:after="0" w:line="174"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provisions in leases, service agreements, licenses, sublicenses, covenants not to sue and other contracts restricting the assignment thereof;</w:t>
      </w:r>
    </w:p>
    <w:p>
      <w:pPr>
        <w:spacing w:after="0" w:line="15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imposed by any agreement relating to secured Indebtedness permitted by this Agreement to the extent such restriction applies only to the property securing such Indebtedness;</w:t>
      </w:r>
    </w:p>
    <w:p>
      <w:pPr>
        <w:spacing w:after="0" w:line="15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restrictions or conditions set forth in any agreement in effect at any time any Person becomes a Subsidiary (but not any modification or amendment expanding the scope of any such restriction or condition); provided that such agreement was not entered into in contemplation of such Person becoming a Subsidiary and the restriction or condition set forth in such agreement does not apply to the Company or any Subsidiary;</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restrictions or conditions in any Indebtedness permitted pursuant to </w:t>
      </w:r>
      <w:r>
        <w:rPr>
          <w:rFonts w:ascii="Times New Roman" w:cs="Times New Roman" w:eastAsia="Times New Roman" w:hAnsi="Times New Roman"/>
          <w:sz w:val="20"/>
          <w:szCs w:val="20"/>
          <w:u w:val="single" w:color="auto"/>
          <w:color w:val="auto"/>
        </w:rPr>
        <w:t>Section 7.03</w:t>
      </w:r>
      <w:r>
        <w:rPr>
          <w:rFonts w:ascii="Times New Roman" w:cs="Times New Roman" w:eastAsia="Times New Roman" w:hAnsi="Times New Roman"/>
          <w:sz w:val="20"/>
          <w:szCs w:val="20"/>
          <w:color w:val="auto"/>
        </w:rPr>
        <w:t xml:space="preserve"> that is incurred or assumed by Subsidiaries that are not Loan Parties to the extent such restrictions or conditions are no more restrictive in any material respect than the restrictions and conditions in the Loan Documents or are market terms at the time of issuance and are imposed solely on such Subsidiary and its Subsidiaries; and</w:t>
      </w:r>
    </w:p>
    <w:p>
      <w:pPr>
        <w:spacing w:after="0" w:line="179"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joint venture agreements and other similar agreements applicable to joint ventures permitted hereunder and applicable solely to such joint venture.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6" w:name="page287"/>
    <w:bookmarkEnd w:id="286"/>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7.10 Use of Proceeds. </w:t>
      </w:r>
      <w:r>
        <w:rPr>
          <w:rFonts w:ascii="Times New Roman" w:cs="Times New Roman" w:eastAsia="Times New Roman" w:hAnsi="Times New Roman"/>
          <w:sz w:val="20"/>
          <w:szCs w:val="20"/>
          <w:color w:val="auto"/>
        </w:rPr>
        <w:t>Use the proceeds of any Credit Extension, whether directly or indirectly, and whether immediately,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7.11 Financial Covenants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7" w:lineRule="auto"/>
        <w:tabs>
          <w:tab w:leader="none" w:pos="1018"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Interest Coverage Ratio</w:t>
      </w:r>
      <w:r>
        <w:rPr>
          <w:rFonts w:ascii="Times New Roman" w:cs="Times New Roman" w:eastAsia="Times New Roman" w:hAnsi="Times New Roman"/>
          <w:sz w:val="20"/>
          <w:szCs w:val="20"/>
          <w:color w:val="auto"/>
        </w:rPr>
        <w:t xml:space="preserve">. Permit the ratio of (a) Consolidated EBITDA to (b) Consolidated Interest Expense to be less than, as of the end of any fiscal quarter of the Company ending on or after (x) the Closing Date and prior to the Second Amendment Effective Date, 2.75:1.00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color w:val="auto"/>
        </w:rPr>
        <w:t xml:space="preserve"> (y) the Second Amendment Effective Date </w:t>
      </w:r>
      <w:r>
        <w:rPr>
          <w:rFonts w:ascii="Times New Roman" w:cs="Times New Roman" w:eastAsia="Times New Roman" w:hAnsi="Times New Roman"/>
          <w:sz w:val="20"/>
          <w:szCs w:val="20"/>
          <w:color w:val="0000FF"/>
        </w:rPr>
        <w:t>and prior to the Fourth Amendment Effective Date</w:t>
      </w:r>
      <w:r>
        <w:rPr>
          <w:rFonts w:ascii="Times New Roman" w:cs="Times New Roman" w:eastAsia="Times New Roman" w:hAnsi="Times New Roman"/>
          <w:sz w:val="20"/>
          <w:szCs w:val="20"/>
          <w:color w:val="auto"/>
        </w:rPr>
        <w:t xml:space="preserve">, 2.50:1.00 </w:t>
      </w:r>
      <w:r>
        <w:rPr>
          <w:rFonts w:ascii="Times New Roman" w:cs="Times New Roman" w:eastAsia="Times New Roman" w:hAnsi="Times New Roman"/>
          <w:sz w:val="20"/>
          <w:szCs w:val="20"/>
          <w:color w:val="0000FF"/>
        </w:rPr>
        <w:t>and</w:t>
      </w:r>
    </w:p>
    <w:p>
      <w:pPr>
        <w:ind w:left="280" w:hanging="272"/>
        <w:spacing w:after="0"/>
        <w:tabs>
          <w:tab w:leader="none" w:pos="280" w:val="left"/>
        </w:tabs>
        <w:numPr>
          <w:ilvl w:val="0"/>
          <w:numId w:val="231"/>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the Fourth Amendment Effective Date, 2.00:1.00</w:t>
      </w:r>
      <w:r>
        <w:rPr>
          <w:rFonts w:ascii="Times New Roman" w:cs="Times New Roman" w:eastAsia="Times New Roman" w:hAnsi="Times New Roman"/>
          <w:sz w:val="20"/>
          <w:szCs w:val="20"/>
          <w:color w:val="000000"/>
        </w:rPr>
        <w:t>.</w:t>
      </w:r>
    </w:p>
    <w:p>
      <w:pPr>
        <w:spacing w:after="0" w:line="193" w:lineRule="exact"/>
        <w:rPr>
          <w:rFonts w:ascii="Times New Roman" w:cs="Times New Roman" w:eastAsia="Times New Roman" w:hAnsi="Times New Roman"/>
          <w:sz w:val="20"/>
          <w:szCs w:val="20"/>
          <w:u w:val="single" w:color="auto"/>
          <w:color w:val="0000FF"/>
        </w:rPr>
      </w:pPr>
    </w:p>
    <w:p>
      <w:pPr>
        <w:ind w:right="20" w:firstLine="757"/>
        <w:spacing w:after="0" w:line="269" w:lineRule="auto"/>
        <w:tabs>
          <w:tab w:leader="none" w:pos="1018"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Secured Leverage Ratio</w:t>
      </w:r>
      <w:r>
        <w:rPr>
          <w:rFonts w:ascii="Times New Roman" w:cs="Times New Roman" w:eastAsia="Times New Roman" w:hAnsi="Times New Roman"/>
          <w:sz w:val="20"/>
          <w:szCs w:val="20"/>
          <w:color w:val="auto"/>
        </w:rPr>
        <w:t xml:space="preserve">. From and after the </w:t>
      </w:r>
      <w:r>
        <w:rPr>
          <w:rFonts w:ascii="Times New Roman" w:cs="Times New Roman" w:eastAsia="Times New Roman" w:hAnsi="Times New Roman"/>
          <w:sz w:val="20"/>
          <w:szCs w:val="20"/>
          <w:color w:val="FF0000"/>
          <w:strike w:val="1"/>
        </w:rPr>
        <w:t>Third</w:t>
      </w:r>
      <w:r>
        <w:rPr>
          <w:rFonts w:ascii="Times New Roman" w:cs="Times New Roman" w:eastAsia="Times New Roman" w:hAnsi="Times New Roman"/>
          <w:sz w:val="20"/>
          <w:szCs w:val="20"/>
          <w:u w:val="single" w:color="auto"/>
          <w:color w:val="0000FF"/>
        </w:rPr>
        <w:t>Fourth</w:t>
      </w:r>
      <w:r>
        <w:rPr>
          <w:rFonts w:ascii="Times New Roman" w:cs="Times New Roman" w:eastAsia="Times New Roman" w:hAnsi="Times New Roman"/>
          <w:sz w:val="20"/>
          <w:szCs w:val="20"/>
          <w:color w:val="auto"/>
        </w:rPr>
        <w:t xml:space="preserve"> Amendment Effective Date, permit the Consolidated Secured Leverage Ratio as of the end of any fiscal quarter of the Company to be greater than the ratio set forth below opposite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-672465</wp:posOffset>
            </wp:positionV>
            <wp:extent cx="212725"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39">
                      <a:extLst>
                        <a:ext uri="{28A0092B-C50C-407E-A947-70E740481C1C}"/>
                      </a:extLst>
                    </a:blip>
                    <a:srcRect/>
                    <a:stretch>
                      <a:fillRect/>
                    </a:stretch>
                  </pic:blipFill>
                  <pic:spPr bwMode="auto">
                    <a:xfrm>
                      <a:off x="0" y="0"/>
                      <a:ext cx="212725" cy="8255"/>
                    </a:xfrm>
                    <a:prstGeom prst="rect">
                      <a:avLst/>
                    </a:prstGeom>
                    <a:noFill/>
                  </pic:spPr>
                </pic:pic>
              </a:graphicData>
            </a:graphic>
          </wp:anchor>
        </w:drawing>
        <w:drawing>
          <wp:anchor simplePos="0" relativeHeight="251657728" behindDoc="1" locked="0" layoutInCell="0" allowOverlap="1">
            <wp:simplePos x="0" y="0"/>
            <wp:positionH relativeFrom="column">
              <wp:posOffset>3735070</wp:posOffset>
            </wp:positionH>
            <wp:positionV relativeFrom="paragraph">
              <wp:posOffset>-621030</wp:posOffset>
            </wp:positionV>
            <wp:extent cx="3400425" cy="260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40">
                      <a:extLst>
                        <a:ext uri="{28A0092B-C50C-407E-A947-70E740481C1C}"/>
                      </a:extLst>
                    </a:blip>
                    <a:srcRect/>
                    <a:stretch>
                      <a:fillRect/>
                    </a:stretch>
                  </pic:blipFill>
                  <pic:spPr bwMode="auto">
                    <a:xfrm>
                      <a:off x="0" y="0"/>
                      <a:ext cx="3400425" cy="26035"/>
                    </a:xfrm>
                    <a:prstGeom prst="rect">
                      <a:avLst/>
                    </a:prstGeom>
                    <a:noFill/>
                  </pic:spPr>
                </pic:pic>
              </a:graphicData>
            </a:graphic>
          </wp:anchor>
        </w:drawing>
      </w:r>
    </w:p>
    <w:p>
      <w:pPr>
        <w:spacing w:after="0" w:line="139" w:lineRule="exact"/>
        <w:rPr>
          <w:sz w:val="20"/>
          <w:szCs w:val="20"/>
          <w:color w:val="auto"/>
        </w:rPr>
      </w:pPr>
    </w:p>
    <w:tbl>
      <w:tblPr>
        <w:tblLayout w:type="fixed"/>
        <w:tblInd w:w="1830" w:type="dxa"/>
        <w:tblCellMar>
          <w:top w:w="0" w:type="dxa"/>
          <w:left w:w="0" w:type="dxa"/>
          <w:bottom w:w="0" w:type="dxa"/>
          <w:right w:w="0" w:type="dxa"/>
        </w:tblCellMar>
      </w:tblPr>
      <w:tr>
        <w:trPr>
          <w:trHeight w:val="228"/>
        </w:trPr>
        <w:tc>
          <w:tcPr>
            <w:tcW w:w="100" w:type="dxa"/>
            <w:vAlign w:val="bottom"/>
            <w:tcBorders>
              <w:top w:val="single" w:sz="8" w:color="auto"/>
              <w:left w:val="single" w:sz="8" w:color="auto"/>
            </w:tcBorders>
          </w:tcPr>
          <w:p>
            <w:pPr>
              <w:spacing w:after="0"/>
              <w:rPr>
                <w:sz w:val="19"/>
                <w:szCs w:val="19"/>
                <w:color w:val="auto"/>
              </w:rPr>
            </w:pPr>
          </w:p>
        </w:tc>
        <w:tc>
          <w:tcPr>
            <w:tcW w:w="4800" w:type="dxa"/>
            <w:vAlign w:val="bottom"/>
            <w:tcBorders>
              <w:top w:val="single" w:sz="8" w:color="auto"/>
              <w:right w:val="single" w:sz="8" w:color="auto"/>
            </w:tcBorders>
            <w:gridSpan w:val="6"/>
            <w:vMerge w:val="restart"/>
          </w:tcPr>
          <w:p>
            <w:pPr>
              <w:ind w:left="1660"/>
              <w:spacing w:after="0"/>
              <w:rPr>
                <w:sz w:val="20"/>
                <w:szCs w:val="20"/>
                <w:color w:val="auto"/>
              </w:rPr>
            </w:pPr>
            <w:r>
              <w:rPr>
                <w:rFonts w:ascii="Times New Roman" w:cs="Times New Roman" w:eastAsia="Times New Roman" w:hAnsi="Times New Roman"/>
                <w:sz w:val="22"/>
                <w:szCs w:val="22"/>
                <w:b w:val="1"/>
                <w:bCs w:val="1"/>
                <w:color w:val="auto"/>
              </w:rPr>
              <w:t>Fiscal Quarter</w:t>
            </w:r>
          </w:p>
        </w:tc>
        <w:tc>
          <w:tcPr>
            <w:tcW w:w="2740" w:type="dxa"/>
            <w:vAlign w:val="bottom"/>
            <w:tcBorders>
              <w:top w:val="single" w:sz="8" w:color="auto"/>
              <w:right w:val="single" w:sz="8" w:color="auto"/>
            </w:tcBorders>
            <w:gridSpan w:val="4"/>
          </w:tcPr>
          <w:p>
            <w:pPr>
              <w:jc w:val="right"/>
              <w:ind w:right="320"/>
              <w:spacing w:after="0" w:line="228" w:lineRule="exact"/>
              <w:rPr>
                <w:sz w:val="20"/>
                <w:szCs w:val="20"/>
                <w:color w:val="auto"/>
              </w:rPr>
            </w:pPr>
            <w:r>
              <w:rPr>
                <w:rFonts w:ascii="Times New Roman" w:cs="Times New Roman" w:eastAsia="Times New Roman" w:hAnsi="Times New Roman"/>
                <w:sz w:val="22"/>
                <w:szCs w:val="22"/>
                <w:b w:val="1"/>
                <w:bCs w:val="1"/>
                <w:color w:val="auto"/>
              </w:rPr>
              <w:t>Maximum Consolidated</w:t>
            </w:r>
          </w:p>
        </w:tc>
        <w:tc>
          <w:tcPr>
            <w:tcW w:w="0" w:type="dxa"/>
            <w:vAlign w:val="bottom"/>
          </w:tcPr>
          <w:p>
            <w:pPr>
              <w:spacing w:after="0"/>
              <w:rPr>
                <w:sz w:val="1"/>
                <w:szCs w:val="1"/>
                <w:color w:val="auto"/>
              </w:rPr>
            </w:pPr>
          </w:p>
        </w:tc>
      </w:tr>
      <w:tr>
        <w:trPr>
          <w:trHeight w:val="165"/>
        </w:trPr>
        <w:tc>
          <w:tcPr>
            <w:tcW w:w="100" w:type="dxa"/>
            <w:vAlign w:val="bottom"/>
            <w:tcBorders>
              <w:left w:val="single" w:sz="8" w:color="auto"/>
            </w:tcBorders>
          </w:tcPr>
          <w:p>
            <w:pPr>
              <w:spacing w:after="0"/>
              <w:rPr>
                <w:sz w:val="14"/>
                <w:szCs w:val="14"/>
                <w:color w:val="auto"/>
              </w:rPr>
            </w:pPr>
          </w:p>
        </w:tc>
        <w:tc>
          <w:tcPr>
            <w:tcW w:w="4800" w:type="dxa"/>
            <w:vAlign w:val="bottom"/>
            <w:tcBorders>
              <w:right w:val="single" w:sz="8" w:color="auto"/>
            </w:tcBorders>
            <w:gridSpan w:val="6"/>
            <w:vMerge w:val="continue"/>
          </w:tcPr>
          <w:p>
            <w:pPr>
              <w:spacing w:after="0"/>
              <w:rPr>
                <w:sz w:val="14"/>
                <w:szCs w:val="14"/>
                <w:color w:val="auto"/>
              </w:rPr>
            </w:pPr>
          </w:p>
        </w:tc>
        <w:tc>
          <w:tcPr>
            <w:tcW w:w="2740" w:type="dxa"/>
            <w:vAlign w:val="bottom"/>
            <w:tcBorders>
              <w:right w:val="single" w:sz="8" w:color="auto"/>
            </w:tcBorders>
            <w:gridSpan w:val="4"/>
            <w:vMerge w:val="restart"/>
          </w:tcPr>
          <w:p>
            <w:pPr>
              <w:jc w:val="right"/>
              <w:ind w:right="300"/>
              <w:spacing w:after="0"/>
              <w:rPr>
                <w:sz w:val="20"/>
                <w:szCs w:val="20"/>
                <w:color w:val="auto"/>
              </w:rPr>
            </w:pPr>
            <w:r>
              <w:rPr>
                <w:rFonts w:ascii="Times New Roman" w:cs="Times New Roman" w:eastAsia="Times New Roman" w:hAnsi="Times New Roman"/>
                <w:sz w:val="22"/>
                <w:szCs w:val="22"/>
                <w:b w:val="1"/>
                <w:bCs w:val="1"/>
                <w:color w:val="auto"/>
              </w:rPr>
              <w:t>Secured Leverage Ratio</w:t>
            </w:r>
          </w:p>
        </w:tc>
        <w:tc>
          <w:tcPr>
            <w:tcW w:w="0" w:type="dxa"/>
            <w:vAlign w:val="bottom"/>
          </w:tcPr>
          <w:p>
            <w:pPr>
              <w:spacing w:after="0"/>
              <w:rPr>
                <w:sz w:val="1"/>
                <w:szCs w:val="1"/>
                <w:color w:val="auto"/>
              </w:rPr>
            </w:pPr>
          </w:p>
        </w:tc>
      </w:tr>
      <w:tr>
        <w:trPr>
          <w:trHeight w:val="106"/>
        </w:trPr>
        <w:tc>
          <w:tcPr>
            <w:tcW w:w="100" w:type="dxa"/>
            <w:vAlign w:val="bottom"/>
            <w:tcBorders>
              <w:left w:val="single" w:sz="8" w:color="auto"/>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2740" w:type="dxa"/>
            <w:vAlign w:val="bottom"/>
            <w:tcBorders>
              <w:bottom w:val="single" w:sz="8" w:color="auto"/>
              <w:right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00" w:type="dxa"/>
            <w:vAlign w:val="bottom"/>
            <w:tcBorders>
              <w:left w:val="single" w:sz="8" w:color="auto"/>
            </w:tcBorders>
          </w:tcPr>
          <w:p>
            <w:pPr>
              <w:spacing w:after="0"/>
              <w:rPr>
                <w:sz w:val="18"/>
                <w:szCs w:val="18"/>
                <w:color w:val="auto"/>
              </w:rPr>
            </w:pPr>
          </w:p>
        </w:tc>
        <w:tc>
          <w:tcPr>
            <w:tcW w:w="1880" w:type="dxa"/>
            <w:vAlign w:val="bottom"/>
          </w:tcPr>
          <w:p>
            <w:pPr>
              <w:spacing w:after="0" w:line="212" w:lineRule="exact"/>
              <w:rPr>
                <w:sz w:val="20"/>
                <w:szCs w:val="20"/>
                <w:color w:val="auto"/>
              </w:rPr>
            </w:pPr>
            <w:r>
              <w:rPr>
                <w:rFonts w:ascii="Times New Roman" w:cs="Times New Roman" w:eastAsia="Times New Roman" w:hAnsi="Times New Roman"/>
                <w:sz w:val="22"/>
                <w:szCs w:val="22"/>
                <w:color w:val="auto"/>
                <w:w w:val="96"/>
              </w:rPr>
              <w:t>Ending June 30, 2025</w:t>
            </w:r>
          </w:p>
        </w:tc>
        <w:tc>
          <w:tcPr>
            <w:tcW w:w="2920" w:type="dxa"/>
            <w:vAlign w:val="bottom"/>
            <w:tcBorders>
              <w:right w:val="single" w:sz="8" w:color="auto"/>
            </w:tcBorders>
            <w:gridSpan w:val="5"/>
          </w:tcPr>
          <w:p>
            <w:pPr>
              <w:jc w:val="center"/>
              <w:ind w:right="180"/>
              <w:spacing w:after="0" w:line="212" w:lineRule="exact"/>
              <w:rPr>
                <w:sz w:val="20"/>
                <w:szCs w:val="20"/>
                <w:color w:val="auto"/>
              </w:rPr>
            </w:pPr>
            <w:r>
              <w:rPr>
                <w:rFonts w:ascii="Times New Roman" w:cs="Times New Roman" w:eastAsia="Times New Roman" w:hAnsi="Times New Roman"/>
                <w:sz w:val="22"/>
                <w:szCs w:val="22"/>
                <w:color w:val="FF0000"/>
                <w:strike w:val="1"/>
                <w:w w:val="98"/>
              </w:rPr>
              <w:t>through (and including) Fiscal</w:t>
            </w:r>
          </w:p>
        </w:tc>
        <w:tc>
          <w:tcPr>
            <w:tcW w:w="740" w:type="dxa"/>
            <w:vAlign w:val="bottom"/>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FF0000"/>
                <w:strike w:val="1"/>
                <w:w w:val="93"/>
              </w:rPr>
              <w:t>4.75</w:t>
            </w:r>
          </w:p>
        </w:tc>
        <w:tc>
          <w:tcPr>
            <w:tcW w:w="1620" w:type="dxa"/>
            <w:vAlign w:val="bottom"/>
            <w:tcBorders>
              <w:right w:val="single" w:sz="8" w:color="auto"/>
            </w:tcBorders>
            <w:gridSpan w:val="2"/>
            <w:vMerge w:val="restart"/>
          </w:tcPr>
          <w:p>
            <w:pPr>
              <w:jc w:val="right"/>
              <w:ind w:right="800"/>
              <w:spacing w:after="0"/>
              <w:rPr>
                <w:sz w:val="20"/>
                <w:szCs w:val="20"/>
                <w:color w:val="auto"/>
              </w:rPr>
            </w:pPr>
            <w:r>
              <w:rPr>
                <w:rFonts w:ascii="Times New Roman" w:cs="Times New Roman" w:eastAsia="Times New Roman" w:hAnsi="Times New Roman"/>
                <w:sz w:val="22"/>
                <w:szCs w:val="22"/>
                <w:color w:val="0000FF"/>
                <w:w w:val="96"/>
              </w:rPr>
              <w:t>5.00</w:t>
            </w:r>
            <w:r>
              <w:rPr>
                <w:rFonts w:ascii="Times New Roman" w:cs="Times New Roman" w:eastAsia="Times New Roman" w:hAnsi="Times New Roman"/>
                <w:sz w:val="22"/>
                <w:szCs w:val="22"/>
                <w:color w:val="000000"/>
                <w:w w:val="96"/>
              </w:rPr>
              <w:t>:1.00</w:t>
            </w:r>
          </w:p>
        </w:tc>
        <w:tc>
          <w:tcPr>
            <w:tcW w:w="0" w:type="dxa"/>
            <w:vAlign w:val="bottom"/>
          </w:tcPr>
          <w:p>
            <w:pPr>
              <w:spacing w:after="0"/>
              <w:rPr>
                <w:sz w:val="1"/>
                <w:szCs w:val="1"/>
                <w:color w:val="auto"/>
              </w:rPr>
            </w:pPr>
          </w:p>
        </w:tc>
      </w:tr>
      <w:tr>
        <w:trPr>
          <w:trHeight w:val="108"/>
        </w:trPr>
        <w:tc>
          <w:tcPr>
            <w:tcW w:w="100" w:type="dxa"/>
            <w:vAlign w:val="bottom"/>
            <w:tcBorders>
              <w:left w:val="single" w:sz="8" w:color="auto"/>
            </w:tcBorders>
          </w:tcPr>
          <w:p>
            <w:pPr>
              <w:spacing w:after="0"/>
              <w:rPr>
                <w:sz w:val="9"/>
                <w:szCs w:val="9"/>
                <w:color w:val="auto"/>
              </w:rPr>
            </w:pPr>
          </w:p>
        </w:tc>
        <w:tc>
          <w:tcPr>
            <w:tcW w:w="2760" w:type="dxa"/>
            <w:vAlign w:val="bottom"/>
            <w:gridSpan w:val="4"/>
            <w:vMerge w:val="restart"/>
          </w:tcPr>
          <w:p>
            <w:pPr>
              <w:spacing w:after="0"/>
              <w:rPr>
                <w:sz w:val="20"/>
                <w:szCs w:val="20"/>
                <w:color w:val="auto"/>
              </w:rPr>
            </w:pPr>
            <w:r>
              <w:rPr>
                <w:rFonts w:ascii="Times New Roman" w:cs="Times New Roman" w:eastAsia="Times New Roman" w:hAnsi="Times New Roman"/>
                <w:sz w:val="22"/>
                <w:szCs w:val="22"/>
                <w:color w:val="FF0000"/>
                <w:strike w:val="1"/>
                <w:w w:val="97"/>
              </w:rPr>
              <w:t>Quarter Ending March 31, 2026</w:t>
            </w:r>
          </w:p>
        </w:tc>
        <w:tc>
          <w:tcPr>
            <w:tcW w:w="80" w:type="dxa"/>
            <w:vAlign w:val="bottom"/>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6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100" w:type="dxa"/>
            <w:vAlign w:val="bottom"/>
            <w:tcBorders>
              <w:left w:val="single" w:sz="8" w:color="auto"/>
            </w:tcBorders>
          </w:tcPr>
          <w:p>
            <w:pPr>
              <w:spacing w:after="0" w:line="20" w:lineRule="exact"/>
              <w:rPr>
                <w:sz w:val="1"/>
                <w:szCs w:val="1"/>
                <w:color w:val="auto"/>
              </w:rPr>
            </w:pPr>
          </w:p>
        </w:tc>
        <w:tc>
          <w:tcPr>
            <w:tcW w:w="2760" w:type="dxa"/>
            <w:vAlign w:val="bottom"/>
            <w:gridSpan w:val="4"/>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960" w:type="dxa"/>
            <w:vAlign w:val="bottom"/>
            <w:tcBorders>
              <w:right w:val="single" w:sz="8" w:color="auto"/>
            </w:tcBorders>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4"/>
        </w:trPr>
        <w:tc>
          <w:tcPr>
            <w:tcW w:w="100" w:type="dxa"/>
            <w:vAlign w:val="bottom"/>
            <w:tcBorders>
              <w:left w:val="single" w:sz="8" w:color="auto"/>
              <w:bottom w:val="single" w:sz="8" w:color="auto"/>
            </w:tcBorders>
          </w:tcPr>
          <w:p>
            <w:pPr>
              <w:spacing w:after="0"/>
              <w:rPr>
                <w:sz w:val="9"/>
                <w:szCs w:val="9"/>
                <w:color w:val="auto"/>
              </w:rPr>
            </w:pPr>
          </w:p>
        </w:tc>
        <w:tc>
          <w:tcPr>
            <w:tcW w:w="2760" w:type="dxa"/>
            <w:vAlign w:val="bottom"/>
            <w:tcBorders>
              <w:bottom w:val="single" w:sz="8" w:color="auto"/>
            </w:tcBorders>
            <w:gridSpan w:val="4"/>
            <w:vMerge w:val="continue"/>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1"/>
        </w:trPr>
        <w:tc>
          <w:tcPr>
            <w:tcW w:w="100" w:type="dxa"/>
            <w:vAlign w:val="bottom"/>
            <w:tcBorders>
              <w:left w:val="single" w:sz="8" w:color="auto"/>
            </w:tcBorders>
            <w:shd w:val="clear" w:color="auto" w:fill="FFDEAD"/>
          </w:tcPr>
          <w:p>
            <w:pPr>
              <w:spacing w:after="0"/>
              <w:rPr>
                <w:sz w:val="24"/>
                <w:szCs w:val="24"/>
                <w:color w:val="auto"/>
              </w:rPr>
            </w:pPr>
          </w:p>
        </w:tc>
        <w:tc>
          <w:tcPr>
            <w:tcW w:w="1880" w:type="dxa"/>
            <w:vAlign w:val="bottom"/>
            <w:shd w:val="clear" w:color="auto" w:fill="FFDEAD"/>
          </w:tcPr>
          <w:p>
            <w:pPr>
              <w:spacing w:after="0"/>
              <w:rPr>
                <w:sz w:val="20"/>
                <w:szCs w:val="20"/>
                <w:color w:val="auto"/>
              </w:rPr>
            </w:pPr>
            <w:r>
              <w:rPr>
                <w:rFonts w:ascii="Times New Roman" w:cs="Times New Roman" w:eastAsia="Times New Roman" w:hAnsi="Times New Roman"/>
                <w:sz w:val="22"/>
                <w:szCs w:val="22"/>
                <w:color w:val="FF0000"/>
                <w:strike w:val="1"/>
                <w:w w:val="96"/>
              </w:rPr>
              <w:t>Ending June 30, 2026</w:t>
            </w:r>
          </w:p>
        </w:tc>
        <w:tc>
          <w:tcPr>
            <w:tcW w:w="100" w:type="dxa"/>
            <w:vAlign w:val="bottom"/>
            <w:shd w:val="clear" w:color="auto" w:fill="FFDEAD"/>
          </w:tcPr>
          <w:p>
            <w:pPr>
              <w:spacing w:after="0"/>
              <w:rPr>
                <w:sz w:val="24"/>
                <w:szCs w:val="24"/>
                <w:color w:val="auto"/>
              </w:rPr>
            </w:pPr>
          </w:p>
        </w:tc>
        <w:tc>
          <w:tcPr>
            <w:tcW w:w="440" w:type="dxa"/>
            <w:vAlign w:val="bottom"/>
            <w:shd w:val="clear" w:color="auto" w:fill="FFDEAD"/>
          </w:tcPr>
          <w:p>
            <w:pPr>
              <w:spacing w:after="0"/>
              <w:rPr>
                <w:sz w:val="24"/>
                <w:szCs w:val="24"/>
                <w:color w:val="auto"/>
              </w:rPr>
            </w:pPr>
          </w:p>
        </w:tc>
        <w:tc>
          <w:tcPr>
            <w:tcW w:w="420" w:type="dxa"/>
            <w:vAlign w:val="bottom"/>
            <w:gridSpan w:val="2"/>
            <w:shd w:val="clear" w:color="auto" w:fill="FFDEAD"/>
          </w:tcPr>
          <w:p>
            <w:pPr>
              <w:spacing w:after="0"/>
              <w:rPr>
                <w:sz w:val="24"/>
                <w:szCs w:val="24"/>
                <w:color w:val="auto"/>
              </w:rPr>
            </w:pPr>
          </w:p>
        </w:tc>
        <w:tc>
          <w:tcPr>
            <w:tcW w:w="1960" w:type="dxa"/>
            <w:vAlign w:val="bottom"/>
            <w:tcBorders>
              <w:right w:val="single" w:sz="8" w:color="auto"/>
            </w:tcBorders>
            <w:shd w:val="clear" w:color="auto" w:fill="FFDEAD"/>
          </w:tcPr>
          <w:p>
            <w:pPr>
              <w:spacing w:after="0"/>
              <w:rPr>
                <w:sz w:val="24"/>
                <w:szCs w:val="24"/>
                <w:color w:val="auto"/>
              </w:rPr>
            </w:pPr>
          </w:p>
        </w:tc>
        <w:tc>
          <w:tcPr>
            <w:tcW w:w="740" w:type="dxa"/>
            <w:vAlign w:val="bottom"/>
            <w:shd w:val="clear" w:color="auto" w:fill="FFDEAD"/>
          </w:tcPr>
          <w:p>
            <w:pPr>
              <w:spacing w:after="0"/>
              <w:rPr>
                <w:sz w:val="24"/>
                <w:szCs w:val="24"/>
                <w:color w:val="auto"/>
              </w:rPr>
            </w:pPr>
          </w:p>
        </w:tc>
        <w:tc>
          <w:tcPr>
            <w:tcW w:w="2000" w:type="dxa"/>
            <w:vAlign w:val="bottom"/>
            <w:tcBorders>
              <w:right w:val="single" w:sz="8" w:color="auto"/>
            </w:tcBorders>
            <w:gridSpan w:val="3"/>
            <w:shd w:val="clear" w:color="auto" w:fill="FFDEAD"/>
          </w:tcPr>
          <w:p>
            <w:pPr>
              <w:jc w:val="right"/>
              <w:ind w:right="1000"/>
              <w:spacing w:after="0"/>
              <w:rPr>
                <w:sz w:val="20"/>
                <w:szCs w:val="20"/>
                <w:color w:val="auto"/>
              </w:rPr>
            </w:pPr>
            <w:r>
              <w:rPr>
                <w:rFonts w:ascii="Times New Roman" w:cs="Times New Roman" w:eastAsia="Times New Roman" w:hAnsi="Times New Roman"/>
                <w:sz w:val="22"/>
                <w:szCs w:val="22"/>
                <w:color w:val="FF0000"/>
                <w:strike w:val="1"/>
              </w:rPr>
              <w:t>4.50:1.00</w:t>
            </w:r>
          </w:p>
        </w:tc>
        <w:tc>
          <w:tcPr>
            <w:tcW w:w="0" w:type="dxa"/>
            <w:vAlign w:val="bottom"/>
          </w:tcPr>
          <w:p>
            <w:pPr>
              <w:spacing w:after="0"/>
              <w:rPr>
                <w:sz w:val="1"/>
                <w:szCs w:val="1"/>
                <w:color w:val="auto"/>
              </w:rPr>
            </w:pPr>
          </w:p>
        </w:tc>
      </w:tr>
      <w:tr>
        <w:trPr>
          <w:trHeight w:val="123"/>
        </w:trPr>
        <w:tc>
          <w:tcPr>
            <w:tcW w:w="100" w:type="dxa"/>
            <w:vAlign w:val="bottom"/>
            <w:tcBorders>
              <w:left w:val="single" w:sz="8" w:color="auto"/>
              <w:bottom w:val="single" w:sz="8" w:color="auto"/>
            </w:tcBorders>
            <w:shd w:val="clear" w:color="auto" w:fill="FFDEAD"/>
          </w:tcPr>
          <w:p>
            <w:pPr>
              <w:spacing w:after="0"/>
              <w:rPr>
                <w:sz w:val="10"/>
                <w:szCs w:val="10"/>
                <w:color w:val="auto"/>
              </w:rPr>
            </w:pPr>
          </w:p>
        </w:tc>
        <w:tc>
          <w:tcPr>
            <w:tcW w:w="1880" w:type="dxa"/>
            <w:vAlign w:val="bottom"/>
            <w:tcBorders>
              <w:bottom w:val="single" w:sz="8" w:color="auto"/>
            </w:tcBorders>
            <w:shd w:val="clear" w:color="auto" w:fill="FFDEAD"/>
          </w:tcPr>
          <w:p>
            <w:pPr>
              <w:spacing w:after="0"/>
              <w:rPr>
                <w:sz w:val="10"/>
                <w:szCs w:val="10"/>
                <w:color w:val="auto"/>
              </w:rPr>
            </w:pPr>
          </w:p>
        </w:tc>
        <w:tc>
          <w:tcPr>
            <w:tcW w:w="100" w:type="dxa"/>
            <w:vAlign w:val="bottom"/>
            <w:tcBorders>
              <w:bottom w:val="single" w:sz="8" w:color="auto"/>
            </w:tcBorders>
            <w:shd w:val="clear" w:color="auto" w:fill="FFDEAD"/>
          </w:tcPr>
          <w:p>
            <w:pPr>
              <w:spacing w:after="0"/>
              <w:rPr>
                <w:sz w:val="10"/>
                <w:szCs w:val="10"/>
                <w:color w:val="auto"/>
              </w:rPr>
            </w:pPr>
          </w:p>
        </w:tc>
        <w:tc>
          <w:tcPr>
            <w:tcW w:w="440" w:type="dxa"/>
            <w:vAlign w:val="bottom"/>
            <w:tcBorders>
              <w:bottom w:val="single" w:sz="8" w:color="auto"/>
            </w:tcBorders>
            <w:shd w:val="clear" w:color="auto" w:fill="FFDEAD"/>
          </w:tcPr>
          <w:p>
            <w:pPr>
              <w:spacing w:after="0"/>
              <w:rPr>
                <w:sz w:val="10"/>
                <w:szCs w:val="10"/>
                <w:color w:val="auto"/>
              </w:rPr>
            </w:pPr>
          </w:p>
        </w:tc>
        <w:tc>
          <w:tcPr>
            <w:tcW w:w="340" w:type="dxa"/>
            <w:vAlign w:val="bottom"/>
            <w:tcBorders>
              <w:bottom w:val="single" w:sz="8" w:color="auto"/>
            </w:tcBorders>
            <w:shd w:val="clear" w:color="auto" w:fill="FFDEAD"/>
          </w:tcPr>
          <w:p>
            <w:pPr>
              <w:spacing w:after="0"/>
              <w:rPr>
                <w:sz w:val="10"/>
                <w:szCs w:val="10"/>
                <w:color w:val="auto"/>
              </w:rPr>
            </w:pPr>
          </w:p>
        </w:tc>
        <w:tc>
          <w:tcPr>
            <w:tcW w:w="80" w:type="dxa"/>
            <w:vAlign w:val="bottom"/>
            <w:tcBorders>
              <w:bottom w:val="single" w:sz="8" w:color="auto"/>
            </w:tcBorders>
            <w:shd w:val="clear" w:color="auto" w:fill="FFDEAD"/>
          </w:tcPr>
          <w:p>
            <w:pPr>
              <w:spacing w:after="0"/>
              <w:rPr>
                <w:sz w:val="10"/>
                <w:szCs w:val="10"/>
                <w:color w:val="auto"/>
              </w:rPr>
            </w:pPr>
          </w:p>
        </w:tc>
        <w:tc>
          <w:tcPr>
            <w:tcW w:w="1960" w:type="dxa"/>
            <w:vAlign w:val="bottom"/>
            <w:tcBorders>
              <w:bottom w:val="single" w:sz="8" w:color="auto"/>
              <w:right w:val="single" w:sz="8" w:color="auto"/>
            </w:tcBorders>
            <w:shd w:val="clear" w:color="auto" w:fill="FFDEAD"/>
          </w:tcPr>
          <w:p>
            <w:pPr>
              <w:spacing w:after="0"/>
              <w:rPr>
                <w:sz w:val="10"/>
                <w:szCs w:val="10"/>
                <w:color w:val="auto"/>
              </w:rPr>
            </w:pPr>
          </w:p>
        </w:tc>
        <w:tc>
          <w:tcPr>
            <w:tcW w:w="740" w:type="dxa"/>
            <w:vAlign w:val="bottom"/>
            <w:tcBorders>
              <w:bottom w:val="single" w:sz="8" w:color="auto"/>
            </w:tcBorders>
            <w:shd w:val="clear" w:color="auto" w:fill="FFDEAD"/>
          </w:tcPr>
          <w:p>
            <w:pPr>
              <w:spacing w:after="0"/>
              <w:rPr>
                <w:sz w:val="10"/>
                <w:szCs w:val="10"/>
                <w:color w:val="auto"/>
              </w:rPr>
            </w:pPr>
          </w:p>
        </w:tc>
        <w:tc>
          <w:tcPr>
            <w:tcW w:w="380" w:type="dxa"/>
            <w:vAlign w:val="bottom"/>
            <w:tcBorders>
              <w:bottom w:val="single" w:sz="8" w:color="auto"/>
            </w:tcBorders>
            <w:shd w:val="clear" w:color="auto" w:fill="FFDEAD"/>
          </w:tcPr>
          <w:p>
            <w:pPr>
              <w:spacing w:after="0"/>
              <w:rPr>
                <w:sz w:val="10"/>
                <w:szCs w:val="10"/>
                <w:color w:val="auto"/>
              </w:rPr>
            </w:pPr>
          </w:p>
        </w:tc>
        <w:tc>
          <w:tcPr>
            <w:tcW w:w="380" w:type="dxa"/>
            <w:vAlign w:val="bottom"/>
            <w:tcBorders>
              <w:bottom w:val="single" w:sz="8" w:color="auto"/>
            </w:tcBorders>
            <w:shd w:val="clear" w:color="auto" w:fill="FFDEAD"/>
          </w:tcPr>
          <w:p>
            <w:pPr>
              <w:spacing w:after="0"/>
              <w:rPr>
                <w:sz w:val="10"/>
                <w:szCs w:val="10"/>
                <w:color w:val="auto"/>
              </w:rPr>
            </w:pPr>
          </w:p>
        </w:tc>
        <w:tc>
          <w:tcPr>
            <w:tcW w:w="1240" w:type="dxa"/>
            <w:vAlign w:val="bottom"/>
            <w:tcBorders>
              <w:bottom w:val="single" w:sz="8" w:color="auto"/>
              <w:right w:val="single" w:sz="8" w:color="auto"/>
            </w:tcBorders>
            <w:shd w:val="clear" w:color="auto" w:fill="FFDEAD"/>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100" w:type="dxa"/>
            <w:vAlign w:val="bottom"/>
            <w:tcBorders>
              <w:left w:val="single" w:sz="8" w:color="auto"/>
            </w:tcBorders>
          </w:tcPr>
          <w:p>
            <w:pPr>
              <w:spacing w:after="0"/>
              <w:rPr>
                <w:sz w:val="24"/>
                <w:szCs w:val="24"/>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Ending September 30,</w:t>
            </w:r>
          </w:p>
        </w:tc>
        <w:tc>
          <w:tcPr>
            <w:tcW w:w="44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5"/>
              </w:rPr>
              <w:t>2026</w:t>
            </w:r>
          </w:p>
        </w:tc>
        <w:tc>
          <w:tcPr>
            <w:tcW w:w="2380" w:type="dxa"/>
            <w:vAlign w:val="bottom"/>
            <w:tcBorders>
              <w:right w:val="single" w:sz="8" w:color="auto"/>
            </w:tcBorders>
            <w:gridSpan w:val="3"/>
          </w:tcPr>
          <w:p>
            <w:pPr>
              <w:jc w:val="center"/>
              <w:ind w:right="700"/>
              <w:spacing w:after="0"/>
              <w:rPr>
                <w:sz w:val="20"/>
                <w:szCs w:val="20"/>
                <w:color w:val="auto"/>
              </w:rPr>
            </w:pPr>
            <w:r>
              <w:rPr>
                <w:rFonts w:ascii="Times New Roman" w:cs="Times New Roman" w:eastAsia="Times New Roman" w:hAnsi="Times New Roman"/>
                <w:sz w:val="22"/>
                <w:szCs w:val="22"/>
                <w:color w:val="0000FF"/>
                <w:w w:val="98"/>
              </w:rPr>
              <w:t xml:space="preserve">2025 </w:t>
            </w:r>
            <w:r>
              <w:rPr>
                <w:rFonts w:ascii="Times New Roman" w:cs="Times New Roman" w:eastAsia="Times New Roman" w:hAnsi="Times New Roman"/>
                <w:sz w:val="22"/>
                <w:szCs w:val="22"/>
                <w:color w:val="000000"/>
                <w:w w:val="98"/>
              </w:rPr>
              <w:t>and thereafter</w:t>
            </w:r>
          </w:p>
        </w:tc>
        <w:tc>
          <w:tcPr>
            <w:tcW w:w="7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FF0000"/>
                <w:strike w:val="1"/>
                <w:w w:val="93"/>
              </w:rPr>
              <w:t>4.25</w:t>
            </w:r>
          </w:p>
        </w:tc>
        <w:tc>
          <w:tcPr>
            <w:tcW w:w="1620" w:type="dxa"/>
            <w:vAlign w:val="bottom"/>
            <w:tcBorders>
              <w:right w:val="single" w:sz="8" w:color="auto"/>
            </w:tcBorders>
            <w:gridSpan w:val="2"/>
          </w:tcPr>
          <w:p>
            <w:pPr>
              <w:jc w:val="right"/>
              <w:ind w:right="800"/>
              <w:spacing w:after="0"/>
              <w:rPr>
                <w:sz w:val="20"/>
                <w:szCs w:val="20"/>
                <w:color w:val="auto"/>
              </w:rPr>
            </w:pPr>
            <w:r>
              <w:rPr>
                <w:rFonts w:ascii="Times New Roman" w:cs="Times New Roman" w:eastAsia="Times New Roman" w:hAnsi="Times New Roman"/>
                <w:sz w:val="22"/>
                <w:szCs w:val="22"/>
                <w:color w:val="0000FF"/>
                <w:w w:val="96"/>
              </w:rPr>
              <w:t>5.50</w:t>
            </w:r>
            <w:r>
              <w:rPr>
                <w:rFonts w:ascii="Times New Roman" w:cs="Times New Roman" w:eastAsia="Times New Roman" w:hAnsi="Times New Roman"/>
                <w:sz w:val="22"/>
                <w:szCs w:val="22"/>
                <w:color w:val="000000"/>
                <w:w w:val="96"/>
              </w:rPr>
              <w:t>:1.00</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1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00" w:type="dxa"/>
            <w:vAlign w:val="bottom"/>
            <w:tcBorders>
              <w:left w:val="single" w:sz="8" w:color="auto"/>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960" w:type="dxa"/>
            <w:vAlign w:val="bottom"/>
            <w:tcBorders>
              <w:bottom w:val="single" w:sz="8" w:color="auto"/>
              <w:right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firstLine="757"/>
        <w:spacing w:after="0" w:line="269" w:lineRule="auto"/>
        <w:tabs>
          <w:tab w:leader="none" w:pos="101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Consolidated Leverage Ratio</w:t>
      </w:r>
      <w:r>
        <w:rPr>
          <w:rFonts w:ascii="Times New Roman" w:cs="Times New Roman" w:eastAsia="Times New Roman" w:hAnsi="Times New Roman"/>
          <w:sz w:val="20"/>
          <w:szCs w:val="20"/>
          <w:color w:val="auto"/>
        </w:rPr>
        <w:t>. Permit the Consolidated Leverage Ratio as of the end of any fiscal quarter of the Company ending on or after the Closing Date to be greater than 6.00: 1.00.</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 xml:space="preserve">Consolidated EBITDA. Permit the Consolidated EBITDA to be less than (i) $17,000,000 for the </w:t>
      </w:r>
      <w:r>
        <w:rPr>
          <w:rFonts w:ascii="Times New Roman" w:cs="Times New Roman" w:eastAsia="Times New Roman" w:hAnsi="Times New Roman"/>
          <w:sz w:val="20"/>
          <w:szCs w:val="20"/>
          <w:u w:val="single" w:color="auto"/>
          <w:color w:val="008000"/>
        </w:rPr>
        <w:t>fiscal quarter of the Company</w:t>
      </w:r>
      <w:r>
        <w:rPr>
          <w:rFonts w:ascii="Times New Roman" w:cs="Times New Roman" w:eastAsia="Times New Roman" w:hAnsi="Times New Roman"/>
          <w:sz w:val="20"/>
          <w:szCs w:val="20"/>
          <w:u w:val="single" w:color="auto"/>
          <w:color w:val="0000FF"/>
        </w:rPr>
        <w:t xml:space="preserve"> ending on September 30, 2025 and (ii) $52,000,000 for the cumulative two fiscal quarters ending on December 31, 2025.</w:t>
      </w:r>
    </w:p>
    <w:p>
      <w:pPr>
        <w:spacing w:after="0" w:line="155"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7.12 Accounting Policies and Procedures. </w:t>
      </w:r>
      <w:r>
        <w:rPr>
          <w:rFonts w:ascii="Times New Roman" w:cs="Times New Roman" w:eastAsia="Times New Roman" w:hAnsi="Times New Roman"/>
          <w:sz w:val="20"/>
          <w:szCs w:val="20"/>
          <w:color w:val="auto"/>
        </w:rPr>
        <w:t>Permit any change in fiscal year without the prior written consent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Administrative Agent.</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7.13 </w:t>
      </w:r>
      <w:r>
        <w:rPr>
          <w:rFonts w:ascii="Times New Roman" w:cs="Times New Roman" w:eastAsia="Times New Roman" w:hAnsi="Times New Roman"/>
          <w:sz w:val="20"/>
          <w:szCs w:val="20"/>
          <w:b w:val="1"/>
          <w:bCs w:val="1"/>
          <w:color w:val="FF0000"/>
          <w:strike w:val="1"/>
        </w:rPr>
        <w:t>Subordinated Indebtedness</w:t>
      </w:r>
      <w:r>
        <w:rPr>
          <w:rFonts w:ascii="Times New Roman" w:cs="Times New Roman" w:eastAsia="Times New Roman" w:hAnsi="Times New Roman"/>
          <w:sz w:val="20"/>
          <w:szCs w:val="20"/>
          <w:b w:val="1"/>
          <w:bCs w:val="1"/>
          <w:u w:val="single" w:color="auto"/>
          <w:color w:val="0000FF"/>
        </w:rPr>
        <w:t>[Intentionally Omitted]</w:t>
      </w:r>
      <w:r>
        <w:rPr>
          <w:rFonts w:ascii="Times New Roman" w:cs="Times New Roman" w:eastAsia="Times New Roman" w:hAnsi="Times New Roman"/>
          <w:sz w:val="20"/>
          <w:szCs w:val="20"/>
          <w:b w:val="1"/>
          <w:bCs w:val="1"/>
          <w:color w:val="auto"/>
        </w:rPr>
        <w:t xml:space="preserve"> .</w:t>
      </w:r>
    </w:p>
    <w:p>
      <w:pPr>
        <w:spacing w:after="0" w:line="220" w:lineRule="exact"/>
        <w:rPr>
          <w:sz w:val="20"/>
          <w:szCs w:val="20"/>
          <w:color w:val="auto"/>
        </w:rPr>
      </w:pPr>
    </w:p>
    <w:p>
      <w:pPr>
        <w:jc w:val="both"/>
        <w:ind w:right="20" w:firstLine="757"/>
        <w:spacing w:after="0" w:line="254" w:lineRule="auto"/>
        <w:tabs>
          <w:tab w:leader="none" w:pos="1030" w:val="left"/>
        </w:tabs>
        <w:numPr>
          <w:ilvl w:val="0"/>
          <w:numId w:val="23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 xml:space="preserve">Designate any Indebtedness (other than (i) the Obligations or (ii) any Indebtedness of the type permitted under </w:t>
      </w:r>
      <w:r>
        <w:rPr>
          <w:rFonts w:ascii="Times New Roman" w:cs="Times New Roman" w:eastAsia="Times New Roman" w:hAnsi="Times New Roman"/>
          <w:sz w:val="20"/>
          <w:szCs w:val="20"/>
          <w:u w:val="single" w:color="auto"/>
          <w:color w:val="FF0000"/>
          <w:strike w:val="1"/>
        </w:rPr>
        <w:t>Section 7.03(j)</w:t>
      </w:r>
      <w:r>
        <w:rPr>
          <w:rFonts w:ascii="Times New Roman" w:cs="Times New Roman" w:eastAsia="Times New Roman" w:hAnsi="Times New Roman"/>
          <w:sz w:val="20"/>
          <w:szCs w:val="20"/>
          <w:color w:val="FF0000"/>
          <w:strike w:val="1"/>
        </w:rPr>
        <w:t xml:space="preserve"> (so long as the Obligations are afforded a similar or more senior designation) of the Company or any of its Subsidiaries as “Designated Senior Debt” (or any similar term) under, and as defined in, any Subordinated Debt Documents.</w:t>
      </w:r>
    </w:p>
    <w:p>
      <w:pPr>
        <w:spacing w:after="0" w:line="174" w:lineRule="exact"/>
        <w:rPr>
          <w:rFonts w:ascii="Times New Roman" w:cs="Times New Roman" w:eastAsia="Times New Roman" w:hAnsi="Times New Roman"/>
          <w:sz w:val="20"/>
          <w:szCs w:val="20"/>
          <w:color w:val="FF0000"/>
          <w:strike w:val="1"/>
        </w:rPr>
      </w:pPr>
    </w:p>
    <w:p>
      <w:pPr>
        <w:ind w:right="20" w:firstLine="757"/>
        <w:spacing w:after="0" w:line="269" w:lineRule="auto"/>
        <w:tabs>
          <w:tab w:leader="none" w:pos="1055" w:val="left"/>
        </w:tabs>
        <w:numPr>
          <w:ilvl w:val="0"/>
          <w:numId w:val="233"/>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Directly or indirectly, prepay, redeem, purchase, defease or otherwise satisfy prior to the scheduled maturity thereof in any manner, or make any payment, in each case, in violation of any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20"/>
          <w:szCs w:val="20"/>
          <w:color w:val="FF0000"/>
          <w:strike w:val="1"/>
        </w:rPr>
        <w:t>subordination terms of, any Subordinated Indebtedness that has an outstanding principal amount in excess of the Threshold Amount.</w:t>
      </w:r>
    </w:p>
    <w:p>
      <w:pPr>
        <w:spacing w:after="0" w:line="216" w:lineRule="exact"/>
        <w:rPr>
          <w:sz w:val="20"/>
          <w:szCs w:val="20"/>
          <w:color w:val="auto"/>
        </w:rPr>
      </w:pPr>
    </w:p>
    <w:p>
      <w:pPr>
        <w:jc w:val="both"/>
        <w:ind w:firstLine="757"/>
        <w:spacing w:after="0" w:line="254" w:lineRule="auto"/>
        <w:tabs>
          <w:tab w:leader="none" w:pos="1035" w:val="left"/>
        </w:tabs>
        <w:numPr>
          <w:ilvl w:val="0"/>
          <w:numId w:val="234"/>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color w:val="FF0000"/>
          <w:strike w:val="1"/>
        </w:rPr>
        <w:t>Amend, supplement or otherwise modify any of the subordination terms of any Subordinated Indebtedness having a principal amount in excess of the Threshold Amount or the tenor thereof in any way which would materially adversely affect the interests of the Lenders.</w:t>
      </w:r>
    </w:p>
    <w:p>
      <w:pPr>
        <w:spacing w:after="0" w:line="170"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7.14 Seller Indebtedness. </w:t>
      </w:r>
      <w:r>
        <w:rPr>
          <w:rFonts w:ascii="Times New Roman" w:cs="Times New Roman" w:eastAsia="Times New Roman" w:hAnsi="Times New Roman"/>
          <w:sz w:val="20"/>
          <w:szCs w:val="20"/>
          <w:color w:val="auto"/>
        </w:rPr>
        <w:t>Fail to pay in Equity Interests of the Company any seller Indebtedness of the Company, to the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excluded from “Consolidated Total Funded Debt” in accordance with the proviso to the definition thereof.</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7.15 Sanctions and Anti-Corruption Laws.</w:t>
      </w:r>
    </w:p>
    <w:p>
      <w:pPr>
        <w:spacing w:after="0" w:line="220" w:lineRule="exact"/>
        <w:rPr>
          <w:sz w:val="20"/>
          <w:szCs w:val="20"/>
          <w:color w:val="auto"/>
        </w:rPr>
      </w:pPr>
    </w:p>
    <w:p>
      <w:pPr>
        <w:jc w:val="both"/>
        <w:ind w:firstLine="757"/>
        <w:spacing w:after="0" w:line="246" w:lineRule="auto"/>
        <w:tabs>
          <w:tab w:leader="none" w:pos="101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or lend, contribute or otherwise make available such Credit Extension or such proceeds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transactions contemplated hereby, whether as Lender, Arranger, Administrative Agent, L/C Issuer, Swing Line Lender or otherwise) of Sanctions.</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use any Credit Extension or the proceeds of any Credit Extension for any purpose which would breach the United States Foreign Corrupt Practices Act of 1977, the UK Bribery Act 2010, the Corruption of Foreign Public Officials Act (Canada), the Corruption (Jersey) Law 2006 or other similar laws in other applicable jurisdictions.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 AND REMEDIES</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 xml:space="preserve">8.01 Events of Default. </w:t>
      </w:r>
      <w:r>
        <w:rPr>
          <w:rFonts w:ascii="Times New Roman" w:cs="Times New Roman" w:eastAsia="Times New Roman" w:hAnsi="Times New Roman"/>
          <w:sz w:val="20"/>
          <w:szCs w:val="20"/>
          <w:color w:val="auto"/>
        </w:rPr>
        <w:t>Any of the following shall constitute an Event of Default:</w:t>
      </w:r>
    </w:p>
    <w:p>
      <w:pPr>
        <w:spacing w:after="0" w:line="220" w:lineRule="exact"/>
        <w:rPr>
          <w:sz w:val="20"/>
          <w:szCs w:val="20"/>
          <w:color w:val="auto"/>
        </w:rPr>
      </w:pPr>
    </w:p>
    <w:p>
      <w:pPr>
        <w:jc w:val="both"/>
        <w:ind w:firstLine="757"/>
        <w:spacing w:after="0" w:line="254"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Non-Payment</w:t>
      </w:r>
      <w:r>
        <w:rPr>
          <w:rFonts w:ascii="Times New Roman" w:cs="Times New Roman" w:eastAsia="Times New Roman" w:hAnsi="Times New Roman"/>
          <w:sz w:val="20"/>
          <w:szCs w:val="20"/>
          <w:color w:val="auto"/>
        </w:rPr>
        <w:t>. Any Borrower or any other Loan Party fails to pay (i) when and as required to be paid herein, any amount of principal of any Loan or any L/C Obligation, or (ii) within three (3) Business Days after the same becomes due, any interest on any Loan or on any L/C Obligation, or any fee due or other amount payable hereunder or under any other Loan Document; or</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Covenants</w:t>
      </w:r>
      <w:r>
        <w:rPr>
          <w:rFonts w:ascii="Times New Roman" w:cs="Times New Roman" w:eastAsia="Times New Roman" w:hAnsi="Times New Roman"/>
          <w:sz w:val="20"/>
          <w:szCs w:val="20"/>
          <w:color w:val="auto"/>
        </w:rPr>
        <w:t xml:space="preserve">. Any Borrower fails to perform or observe any term, covenant or agreement contained in any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6.01(d), Section 6.02(c), Section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6.03(a)</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Article VII</w:t>
      </w:r>
      <w:r>
        <w:rPr>
          <w:rFonts w:ascii="Times New Roman" w:cs="Times New Roman" w:eastAsia="Times New Roman" w:hAnsi="Times New Roman"/>
          <w:sz w:val="20"/>
          <w:szCs w:val="20"/>
          <w:color w:val="000000"/>
        </w:rPr>
        <w:t>, or any Subsidiary Guarantor fails to perform or observe any term, covenant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agreement contained the foregoing listed Sections and Article as it may be applicable to such Subsidiary Guarantor pursuant to Section 4.1 of the Subsidiary Guaranty; or</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w:t>
      </w:r>
      <w:r>
        <w:rPr>
          <w:rFonts w:ascii="Times New Roman" w:cs="Times New Roman" w:eastAsia="Times New Roman" w:hAnsi="Times New Roman"/>
          <w:sz w:val="20"/>
          <w:szCs w:val="20"/>
          <w:color w:val="auto"/>
        </w:rPr>
        <w:t xml:space="preserve">. (i) Any Loan Party fails to perform or observe any term, covenant or agreement contained in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than clause (d) thereof)</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6.02</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(other than clause (c) thereof),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6.03</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(other than clause (a) thereof),</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6.10</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6.11</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6.12</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and such failure continues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for 15 days after the date upon which the Administrative Agent has given the Company written notice of such failure or (ii) any Loan Party fails to perform or observe any other covenant or agreement (not specified in </w:t>
      </w:r>
      <w:r>
        <w:rPr>
          <w:rFonts w:ascii="Times New Roman" w:cs="Times New Roman" w:eastAsia="Times New Roman" w:hAnsi="Times New Roman"/>
          <w:sz w:val="20"/>
          <w:szCs w:val="20"/>
          <w:u w:val="single" w:color="auto"/>
          <w:color w:val="000000"/>
        </w:rPr>
        <w:t>clause (a)</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(b)</w:t>
      </w:r>
      <w:r>
        <w:rPr>
          <w:rFonts w:ascii="Times New Roman" w:cs="Times New Roman" w:eastAsia="Times New Roman" w:hAnsi="Times New Roman"/>
          <w:sz w:val="20"/>
          <w:szCs w:val="20"/>
          <w:color w:val="000000"/>
        </w:rPr>
        <w:t xml:space="preserve"> above or the foregoing clause (i)) contained in any Loan Document on its part to be performed or observed and such failure continues for 30 days after the date upon which the Administrative Agent has given the Company written notice of such failure;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8" w:name="page289"/>
    <w:bookmarkEnd w:id="288"/>
    <w:p>
      <w:pPr>
        <w:jc w:val="both"/>
        <w:ind w:firstLine="757"/>
        <w:spacing w:after="0" w:line="254"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174"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Cross-Default</w:t>
      </w:r>
      <w:r>
        <w:rPr>
          <w:rFonts w:ascii="Times New Roman" w:cs="Times New Roman" w:eastAsia="Times New Roman" w:hAnsi="Times New Roman"/>
          <w:sz w:val="20"/>
          <w:szCs w:val="20"/>
          <w:color w:val="auto"/>
        </w:rPr>
        <w:t>. (i) The Company or any Subsidiary (A) fails to make any payment when due (whether by scheduled maturity, required prepayment, acceleration, demand, or otherwise)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the Swap Termination Value owed by the Company or such Subsidiary as a result thereof is greater than the Threshold Amount; or</w:t>
      </w:r>
    </w:p>
    <w:p>
      <w:pPr>
        <w:spacing w:after="0" w:line="19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 Etc.</w:t>
      </w:r>
      <w:r>
        <w:rPr>
          <w:rFonts w:ascii="Times New Roman" w:cs="Times New Roman" w:eastAsia="Times New Roman" w:hAnsi="Times New Roman"/>
          <w:sz w:val="20"/>
          <w:szCs w:val="20"/>
          <w:color w:val="auto"/>
        </w:rPr>
        <w:t xml:space="preserve"> The Company or any Significant Subsidiary institutes or consents to the institution of any proceeding under any Debtor Relief Law, or makes an assignment for the benefit of creditors; or applies for or consents to the appointment of any receiver, interim receiver, receiver and manager, monitor, trustee, custodian, conservator, liquidator, rehabilitator or similar officer for it or for all or any material part of its property; or any receiver, interim receiver, receiver and manager, monitor, trustee, custodian, conservator, liquidator, rehabilitator or similar officer is appointed without the application or consent of such Person and the 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spacing w:after="0" w:line="189"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Pay Debts; Attachment</w:t>
      </w:r>
      <w:r>
        <w:rPr>
          <w:rFonts w:ascii="Times New Roman" w:cs="Times New Roman" w:eastAsia="Times New Roman" w:hAnsi="Times New Roman"/>
          <w:sz w:val="20"/>
          <w:szCs w:val="20"/>
          <w:color w:val="auto"/>
        </w:rPr>
        <w:t>. (i) Any Loan Party or any of its Significant Subsidiaries becomes unable or admits in writing its inability or fails generally to pay its debts in excess of the Threshold Amount as they become due, or (ii) any writ or warrant of attachment or execution or similar process is issued or levied against all or any material part of the property of any such Person and is not released, vacated or fully bonded within sixty (60) days after its issue or levy; or</w:t>
      </w:r>
    </w:p>
    <w:p>
      <w:pPr>
        <w:spacing w:after="0" w:line="17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w:t>
      </w:r>
      <w:r>
        <w:rPr>
          <w:rFonts w:ascii="Times New Roman" w:cs="Times New Roman" w:eastAsia="Times New Roman" w:hAnsi="Times New Roman"/>
          <w:sz w:val="20"/>
          <w:szCs w:val="20"/>
          <w:color w:val="auto"/>
        </w:rPr>
        <w:t>. There is entered against the Company or any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9" w:name="page290"/>
    <w:bookmarkEnd w:id="289"/>
    <w:p>
      <w:pPr>
        <w:jc w:val="both"/>
        <w:ind w:firstLine="757"/>
        <w:spacing w:after="0" w:line="245" w:lineRule="auto"/>
        <w:tabs>
          <w:tab w:leader="none" w:pos="101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(i) An ERISA Event occurs with respect to a Pension Plan or Multiemployer Plan which has resulted or could reasonably be expected to result in liability of the Company under Title IV of ERISA to the Pension Plan, Multiemployer Plan or the PBGC in an aggregate amount that would reasonably be expected to result in a Material Adverse Effect, or (ii) the Company or any ERISA Affiliate fails to pay when due, after the expiration of any applicable grace period, any installment payment with respect to its withdrawal liability under Section 4201 of ERISA under a Multiemployer Plan in an aggregate amount that would reasonably be expected to result in a Material Adverse Effect; or</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Invalidity of Loan Documents</w:t>
      </w:r>
      <w:r>
        <w:rPr>
          <w:rFonts w:ascii="Times New Roman" w:cs="Times New Roman" w:eastAsia="Times New Roman" w:hAnsi="Times New Roman"/>
          <w:sz w:val="20"/>
          <w:szCs w:val="20"/>
          <w:color w:val="auto"/>
        </w:rPr>
        <w:t>. Any material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material provision of any Loan Document, or denies in writing that it has any or further liability or obligation under any Loan Document, or purports to revoke, terminate or rescind a material provision of a Loan Document; or</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Collateral Documents</w:t>
      </w:r>
      <w:r>
        <w:rPr>
          <w:rFonts w:ascii="Times New Roman" w:cs="Times New Roman" w:eastAsia="Times New Roman" w:hAnsi="Times New Roman"/>
          <w:sz w:val="20"/>
          <w:szCs w:val="20"/>
          <w:color w:val="auto"/>
        </w:rPr>
        <w:t xml:space="preserve">. Any Collateral Document (other than the Collateral Documents listed on </w:t>
      </w:r>
      <w:r>
        <w:rPr>
          <w:rFonts w:ascii="Times New Roman" w:cs="Times New Roman" w:eastAsia="Times New Roman" w:hAnsi="Times New Roman"/>
          <w:sz w:val="20"/>
          <w:szCs w:val="20"/>
          <w:u w:val="single" w:color="auto"/>
          <w:color w:val="auto"/>
        </w:rPr>
        <w:t>Schedule 1.01</w:t>
      </w:r>
      <w:r>
        <w:rPr>
          <w:rFonts w:ascii="Times New Roman" w:cs="Times New Roman" w:eastAsia="Times New Roman" w:hAnsi="Times New Roman"/>
          <w:sz w:val="20"/>
          <w:szCs w:val="20"/>
          <w:color w:val="auto"/>
        </w:rPr>
        <w:t xml:space="preserve">) after delivery thereof shall for any reason (other than pursuant to the terms thereof) cease to create a valid and perfected first priority Lien (subject to Liens permitted by </w:t>
      </w:r>
      <w:r>
        <w:rPr>
          <w:rFonts w:ascii="Times New Roman" w:cs="Times New Roman" w:eastAsia="Times New Roman" w:hAnsi="Times New Roman"/>
          <w:sz w:val="20"/>
          <w:szCs w:val="20"/>
          <w:u w:val="single" w:color="auto"/>
          <w:color w:val="auto"/>
        </w:rPr>
        <w:t>Section 7.01</w:t>
      </w:r>
      <w:r>
        <w:rPr>
          <w:rFonts w:ascii="Times New Roman" w:cs="Times New Roman" w:eastAsia="Times New Roman" w:hAnsi="Times New Roman"/>
          <w:sz w:val="20"/>
          <w:szCs w:val="20"/>
          <w:color w:val="auto"/>
        </w:rPr>
        <w:t>) on any material portion of the Collateral purported to be covered thereby</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color w:val="auto"/>
        </w:rPr>
        <w:t xml:space="preserve"> except (i) as a result of the sale or other disposition of the applicable Collateral to a Person that is not a Loan Party in a transaction permitted under the Loan Documents, (ii) to the extent any loss of perfection or priority results solely from (A) the Administrative Agent no longer having possession of certificates actually delivered to it representing Equity Interests pledged under any Collateral Document or (B) a UCC filing having lapsed because a UCC continuation statement was not filed in a timely manner; or</w:t>
      </w:r>
    </w:p>
    <w:p>
      <w:pPr>
        <w:spacing w:after="0" w:line="185" w:lineRule="exact"/>
        <w:rPr>
          <w:rFonts w:ascii="Times New Roman" w:cs="Times New Roman" w:eastAsia="Times New Roman" w:hAnsi="Times New Roman"/>
          <w:sz w:val="20"/>
          <w:szCs w:val="20"/>
          <w:color w:val="auto"/>
        </w:rPr>
      </w:pPr>
    </w:p>
    <w:p>
      <w:pPr>
        <w:jc w:val="both"/>
        <w:ind w:firstLine="757"/>
        <w:spacing w:after="0" w:line="244" w:lineRule="auto"/>
        <w:tabs>
          <w:tab w:leader="none" w:pos="1025" w:val="left"/>
        </w:tabs>
        <w:numPr>
          <w:ilvl w:val="0"/>
          <w:numId w:val="238"/>
        </w:numPr>
        <w:rPr>
          <w:rFonts w:ascii="Times New Roman" w:cs="Times New Roman" w:eastAsia="Times New Roman" w:hAnsi="Times New Roman"/>
          <w:sz w:val="20"/>
          <w:szCs w:val="20"/>
          <w:color w:val="FF0000"/>
          <w:strike w:val="1"/>
        </w:rPr>
      </w:pPr>
      <w:r>
        <w:rPr>
          <w:rFonts w:ascii="Times New Roman" w:cs="Times New Roman" w:eastAsia="Times New Roman" w:hAnsi="Times New Roman"/>
          <w:sz w:val="20"/>
          <w:szCs w:val="20"/>
          <w:u w:val="single" w:color="auto"/>
          <w:color w:val="FF0000"/>
          <w:strike w:val="1"/>
        </w:rPr>
        <w:t>Subordinated Indebtedness</w:t>
      </w:r>
      <w:r>
        <w:rPr>
          <w:rFonts w:ascii="Times New Roman" w:cs="Times New Roman" w:eastAsia="Times New Roman" w:hAnsi="Times New Roman"/>
          <w:sz w:val="20"/>
          <w:szCs w:val="20"/>
          <w:color w:val="FF0000"/>
          <w:strike w:val="1"/>
        </w:rPr>
        <w:t>. (i) The subordination provisions of any Subordinated Debt Documents (the “</w:t>
      </w:r>
      <w:r>
        <w:rPr>
          <w:rFonts w:ascii="Times New Roman" w:cs="Times New Roman" w:eastAsia="Times New Roman" w:hAnsi="Times New Roman"/>
          <w:sz w:val="20"/>
          <w:szCs w:val="20"/>
          <w:u w:val="single" w:color="auto"/>
          <w:color w:val="FF0000"/>
          <w:strike w:val="1"/>
        </w:rPr>
        <w:t>Subordination Provisions</w:t>
      </w:r>
      <w:r>
        <w:rPr>
          <w:rFonts w:ascii="Times New Roman" w:cs="Times New Roman" w:eastAsia="Times New Roman" w:hAnsi="Times New Roman"/>
          <w:sz w:val="20"/>
          <w:szCs w:val="20"/>
          <w:color w:val="FF0000"/>
          <w:strike w:val="1"/>
        </w:rPr>
        <w:t>”) shall, in whole or in part, terminate, cease to be effective or cease to be legally valid, binding and enforceable against any holder of the applicable Subordinated Indebtedness; or (ii) any Loan Party shall, directly or indirectly, disavow or contest in any manner (A) the effectiveness, validity or enforceability of any of the Subordination Provisions, (B) that the Subordination Provisions exist for the benefit of the Administrative Agent, the Lenders and the L/C Issuer or (C) that all payments of principal of or premium and interest on the applicable Subordinated Indebtedness, or realized from the liquidation of any property of any Loan Party, shall be subject to any of the Subordination Provisions, in each case in respect of Subordinated Indebtedness in excess of the Threshold Amount;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-809625</wp:posOffset>
            </wp:positionV>
            <wp:extent cx="713041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44">
                      <a:extLst>
                        <a:ext uri="{28A0092B-C50C-407E-A947-70E740481C1C}"/>
                      </a:extLst>
                    </a:blip>
                    <a:srcRect/>
                    <a:stretch>
                      <a:fillRect/>
                    </a:stretch>
                  </pic:blipFill>
                  <pic:spPr bwMode="auto">
                    <a:xfrm>
                      <a:off x="0" y="0"/>
                      <a:ext cx="7130415" cy="8255"/>
                    </a:xfrm>
                    <a:prstGeom prst="rect">
                      <a:avLst/>
                    </a:prstGeom>
                    <a:noFill/>
                  </pic:spPr>
                </pic:pic>
              </a:graphicData>
            </a:graphic>
          </wp:anchor>
        </w:drawing>
      </w:r>
    </w:p>
    <w:p>
      <w:pPr>
        <w:spacing w:after="0" w:line="166" w:lineRule="exact"/>
        <w:rPr>
          <w:sz w:val="20"/>
          <w:szCs w:val="20"/>
          <w:color w:val="auto"/>
        </w:rPr>
      </w:pPr>
    </w:p>
    <w:p>
      <w:pPr>
        <w:ind w:left="1020" w:hanging="263"/>
        <w:spacing w:after="0"/>
        <w:tabs>
          <w:tab w:leader="none" w:pos="10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0000FF"/>
        </w:rPr>
        <w:t>[Intentionally Omitted]; or</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There occurs any Change of Control.</w:t>
      </w:r>
    </w:p>
    <w:p>
      <w:pPr>
        <w:spacing w:after="0" w:line="212" w:lineRule="exact"/>
        <w:rPr>
          <w:sz w:val="20"/>
          <w:szCs w:val="20"/>
          <w:color w:val="auto"/>
        </w:rPr>
      </w:pPr>
    </w:p>
    <w:p>
      <w:pPr>
        <w:ind w:left="1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8.02 Remedies Upon Event of Default. </w:t>
      </w:r>
      <w:r>
        <w:rPr>
          <w:rFonts w:ascii="Times New Roman" w:cs="Times New Roman" w:eastAsia="Times New Roman" w:hAnsi="Times New Roman"/>
          <w:sz w:val="20"/>
          <w:szCs w:val="20"/>
          <w:color w:val="auto"/>
        </w:rPr>
        <w:t>If any Event of Default occurs and is continuing, the Administrative Agent shall, 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 of, or may, with the consent of, the Required Lenders, take any or all of the following actions:</w:t>
      </w:r>
    </w:p>
    <w:p>
      <w:pPr>
        <w:spacing w:after="0" w:line="156" w:lineRule="exact"/>
        <w:rPr>
          <w:sz w:val="20"/>
          <w:szCs w:val="20"/>
          <w:color w:val="auto"/>
        </w:rPr>
      </w:pPr>
    </w:p>
    <w:p>
      <w:pPr>
        <w:ind w:firstLine="757"/>
        <w:spacing w:after="0" w:line="269" w:lineRule="auto"/>
        <w:tabs>
          <w:tab w:leader="none" w:pos="101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commitment of each Lender to make Loans and any obligation of the L/C Issuer to make L/C Credit Extensions to be terminated, whereupon such commitments and obligation shall be terminated;</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0" w:name="page291"/>
    <w:bookmarkEnd w:id="290"/>
    <w:p>
      <w:pPr>
        <w:ind w:firstLine="757"/>
        <w:spacing w:after="0" w:line="269" w:lineRule="auto"/>
        <w:tabs>
          <w:tab w:leader="none" w:pos="101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require that the Company Cash Collateralize the L/C Obligations (in an amount equal to the Minimum Collateral Amount with respect thereto); and</w:t>
      </w:r>
    </w:p>
    <w:p>
      <w:pPr>
        <w:spacing w:after="0" w:line="15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on behalf of itself, the Lenders and the L/C Issuer all rights and remedies available to it, the Lenders and the L/C Issuer under the Loan Documents;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actual or deemed entry of an order for relief in accordance with </w:t>
      </w:r>
      <w:r>
        <w:rPr>
          <w:rFonts w:ascii="Times New Roman" w:cs="Times New Roman" w:eastAsia="Times New Roman" w:hAnsi="Times New Roman"/>
          <w:sz w:val="20"/>
          <w:szCs w:val="20"/>
          <w:u w:val="single" w:color="auto"/>
          <w:color w:val="auto"/>
        </w:rPr>
        <w:t>Section 8.01(f)</w:t>
      </w:r>
      <w:r>
        <w:rPr>
          <w:rFonts w:ascii="Times New Roman" w:cs="Times New Roman" w:eastAsia="Times New Roman" w:hAnsi="Times New Roman"/>
          <w:sz w:val="20"/>
          <w:szCs w:val="20"/>
          <w:color w:val="auto"/>
        </w:rPr>
        <w:t xml:space="preserve"> with respect to any Borrower,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spacing w:after="0" w:line="181" w:lineRule="exact"/>
        <w:rPr>
          <w:sz w:val="20"/>
          <w:szCs w:val="20"/>
          <w:color w:val="auto"/>
        </w:rPr>
      </w:pPr>
    </w:p>
    <w:p>
      <w:pPr>
        <w:jc w:val="both"/>
        <w:ind w:lef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8.03 Application of Funds. </w:t>
      </w:r>
      <w:r>
        <w:rPr>
          <w:rFonts w:ascii="Times New Roman" w:cs="Times New Roman" w:eastAsia="Times New Roman" w:hAnsi="Times New Roman"/>
          <w:sz w:val="20"/>
          <w:szCs w:val="20"/>
          <w:color w:val="auto"/>
        </w:rPr>
        <w:t>After the exercise of remedies provided for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after the Loans have automatically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become immediately due and payable and the L/C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any amounts received on account of the Obligations, subject to the provisions of </w:t>
      </w:r>
      <w:r>
        <w:rPr>
          <w:rFonts w:ascii="Times New Roman" w:cs="Times New Roman" w:eastAsia="Times New Roman" w:hAnsi="Times New Roman"/>
          <w:sz w:val="20"/>
          <w:szCs w:val="20"/>
          <w:u w:val="single" w:color="auto"/>
          <w:color w:val="auto"/>
        </w:rPr>
        <w:t>Sections 2.16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shall be applied by the Administrative Agent in the following order:</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payment of that portion of the Obligations constituting fees, indemnities, expenses and other amounts (including fees, charges and disbursements of counsel to the Administrative Agent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payable to the Administrative Agent in its capacity as such;</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(including fees and time charges for attorneys who may be employees of any Lender or the L/C Issuer, but only to the extent incurred after the Closing Date) and amounts payable under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clause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payable to them;</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payment of that portion of the Obligations constituting unpaid principal of the Loans, L/C Borrowings and Obligations then owing under any Secured Ancillary Agreements, ratably among the Lenders, the L/C Issuer and the Secured Ancillary Lenders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held by them;</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the Administrative Agent for the account of the L/C Issuer, to Cash Collateralize that portion of L/C Obligations comprised of the aggregate undrawn amount of Letters of Credit, to the extent not otherwise Cash Collateralized by the Company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firstLine="749"/>
        <w:spacing w:after="0" w:line="283"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all of the Obligations (other than contingent indemnification obligations) have been indefeasibly paid in full, to the Company or as otherwise required by Law.</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2.03(c)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2.16</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after all Letters of Credit have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20"/>
          <w:szCs w:val="20"/>
          <w:color w:val="auto"/>
        </w:rPr>
        <w:t>either been fully drawn or expired, such remaining amount shall be applied to the other Obligations, if any, in the order set forth above.</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Obligations arising under Secured Ancillary Agreements shall be excluded from the application described above if the Administrative Agent has not received written notice thereof, together with such supporting documentation as the Administrative Agent may request, from the applicable Secured Ancillary Lender, as the case may be. Each Secured Ancillary Lender not a party to the Credit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hereof for itself and its Affiliates as if a “Lender” party hereto.</w:t>
      </w:r>
    </w:p>
    <w:p>
      <w:pPr>
        <w:spacing w:after="0" w:line="180" w:lineRule="exact"/>
        <w:rPr>
          <w:sz w:val="20"/>
          <w:szCs w:val="20"/>
          <w:color w:val="auto"/>
        </w:rPr>
      </w:pPr>
    </w:p>
    <w:p>
      <w:pPr>
        <w:jc w:val="both"/>
        <w:ind w:left="100" w:firstLine="749"/>
        <w:spacing w:after="0" w:line="255" w:lineRule="auto"/>
        <w:rPr>
          <w:sz w:val="20"/>
          <w:szCs w:val="20"/>
          <w:color w:val="auto"/>
        </w:rPr>
      </w:pPr>
      <w:r>
        <w:rPr>
          <w:rFonts w:ascii="Times New Roman" w:cs="Times New Roman" w:eastAsia="Times New Roman" w:hAnsi="Times New Roman"/>
          <w:sz w:val="19"/>
          <w:szCs w:val="19"/>
          <w:b w:val="1"/>
          <w:bCs w:val="1"/>
          <w:color w:val="auto"/>
        </w:rPr>
        <w:t>8.04 Collateral Allocation Mechanism</w:t>
      </w:r>
      <w:r>
        <w:rPr>
          <w:rFonts w:ascii="Times New Roman" w:cs="Times New Roman" w:eastAsia="Times New Roman" w:hAnsi="Times New Roman"/>
          <w:sz w:val="19"/>
          <w:szCs w:val="19"/>
          <w:color w:val="auto"/>
        </w:rPr>
        <w:t>. On the CAM Exchange Date, (a) the Lenders shall automatically and without further act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be deemed to have exchanged interests in the Designated Obligations such that, in lieu of the interests of each Lender in the Designated Obligations under each Loan in which it shall participate as of such date, such Lender shall own an interest equal to such Lender’s CAM Percentage in the Designated Obligations under each of the Loans and (b) simultaneously with the deemed exchange of interests pursuant to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xml:space="preserve"> above, the interests in the Designated Obligations to be received in such deemed exchange shall, automatically and with no further action required, be converted into the Dollar amount, determined using the Spot Rate calculated as of such date, of such amount and on and after such date all amounts accruing and owed to the Lenders in respect of such Designated Obligations shall accrue and be payable in Dollars at the rate otherwise applicable hereunder. Each Lender, each Person acquiring a participation from any Lender as contemplated by </w:t>
      </w:r>
      <w:r>
        <w:rPr>
          <w:rFonts w:ascii="Times New Roman" w:cs="Times New Roman" w:eastAsia="Times New Roman" w:hAnsi="Times New Roman"/>
          <w:sz w:val="19"/>
          <w:szCs w:val="19"/>
          <w:u w:val="single" w:color="auto"/>
          <w:color w:val="auto"/>
        </w:rPr>
        <w:t>Section 10.06</w:t>
      </w:r>
      <w:r>
        <w:rPr>
          <w:rFonts w:ascii="Times New Roman" w:cs="Times New Roman" w:eastAsia="Times New Roman" w:hAnsi="Times New Roman"/>
          <w:sz w:val="19"/>
          <w:szCs w:val="19"/>
          <w:color w:val="auto"/>
        </w:rPr>
        <w:t xml:space="preserve"> and each Borrower hereby consents and agrees to the CAM Exchange. Each of the Borrowers and the Lenders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any Borrower to execute or deliver, or of any Lender to accept, any such promissory note, instrument or document shall not affect the validity or effectiveness of the CAM Exchange. As a result of the CAM Exchange, on and after the CAM Exchange Date, each payment received by the Administrative Agent pursuant to any Loan Document in respect of the Designated Obligations shall be distributed to the Lenders pro rata in accordance with their respective CAM Percentages (to be redetermined as of each such date of payment).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ADMINISTRATIVE AGENT</w:t>
      </w:r>
    </w:p>
    <w:p>
      <w:pPr>
        <w:spacing w:after="0" w:line="19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9.01 Appointment and Authority.</w:t>
      </w:r>
    </w:p>
    <w:p>
      <w:pPr>
        <w:spacing w:after="0" w:line="220" w:lineRule="exact"/>
        <w:rPr>
          <w:sz w:val="20"/>
          <w:szCs w:val="20"/>
          <w:color w:val="auto"/>
        </w:rPr>
      </w:pPr>
    </w:p>
    <w:p>
      <w:pPr>
        <w:jc w:val="both"/>
        <w:ind w:firstLine="757"/>
        <w:spacing w:after="0" w:line="243" w:lineRule="auto"/>
        <w:tabs>
          <w:tab w:leader="none" w:pos="1018"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other than </w:t>
      </w:r>
      <w:r>
        <w:rPr>
          <w:rFonts w:ascii="Times New Roman" w:cs="Times New Roman" w:eastAsia="Times New Roman" w:hAnsi="Times New Roman"/>
          <w:sz w:val="20"/>
          <w:szCs w:val="20"/>
          <w:u w:val="single" w:color="auto"/>
          <w:color w:val="auto"/>
        </w:rPr>
        <w:t>Section 9.06</w:t>
      </w:r>
      <w:r>
        <w:rPr>
          <w:rFonts w:ascii="Times New Roman" w:cs="Times New Roman" w:eastAsia="Times New Roman" w:hAnsi="Times New Roman"/>
          <w:sz w:val="20"/>
          <w:szCs w:val="20"/>
          <w:color w:val="auto"/>
        </w:rPr>
        <w: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In addition, to the extent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2" w:name="page293"/>
    <w:bookmarkEnd w:id="29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required under the laws of any jurisdiction other than the United States of America, each of the Lenders hereby grants to the Administrative Agent any required powers of attorney to execute any Loan Document governed by the laws of such jurisdiction on such Lender’s behalf;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Loan Document shall not increase such Lender’s obligations to, or reduce such Lender’s rights against, the Loan Parties or any other Person party to any Loan Document.</w:t>
      </w:r>
    </w:p>
    <w:p>
      <w:pPr>
        <w:spacing w:after="0" w:line="180" w:lineRule="exact"/>
        <w:rPr>
          <w:sz w:val="20"/>
          <w:szCs w:val="20"/>
          <w:color w:val="auto"/>
        </w:rPr>
      </w:pPr>
    </w:p>
    <w:p>
      <w:pPr>
        <w:jc w:val="both"/>
        <w:ind w:firstLine="757"/>
        <w:spacing w:after="0" w:line="242" w:lineRule="auto"/>
        <w:tabs>
          <w:tab w:leader="none" w:pos="101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also act as the “collateral agent” under the Loan Documents, and each of the Lenders (including in its capacities as a potential and/or current Secured Ancillary Lender) and the L/C Issuer hereby irrevocably appoints and authorizes the Administrative Agent to act as the agent of such Lender and the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9.05</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w:t>
      </w:r>
    </w:p>
    <w:p>
      <w:pPr>
        <w:spacing w:after="0" w:line="192"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hereby acknowledge, understand and agree that BofA Securities, Inc. may, without notice to the Company or any other party hereto, assign any and all rights and obligations of BofA Securities, Inc. under this Agreement and any other Loan Document to any other registered broker-dealer wholly-owned by Bank of America Corporation to which all or substantially all of Bank of America Corporation’s or any of its subsidiaries’ investment banking, commercial lending services or related businesses may be transferred following the date hereof.</w:t>
      </w:r>
    </w:p>
    <w:p>
      <w:pPr>
        <w:spacing w:after="0" w:line="181" w:lineRule="exact"/>
        <w:rPr>
          <w:sz w:val="20"/>
          <w:szCs w:val="20"/>
          <w:color w:val="auto"/>
        </w:rPr>
      </w:pPr>
    </w:p>
    <w:p>
      <w:pPr>
        <w:jc w:val="both"/>
        <w:ind w:left="10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9.02 Rights as a Lender. </w:t>
      </w:r>
      <w:r>
        <w:rPr>
          <w:rFonts w:ascii="Times New Roman" w:cs="Times New Roman" w:eastAsia="Times New Roman" w:hAnsi="Times New Roman"/>
          <w:sz w:val="20"/>
          <w:szCs w:val="20"/>
          <w:color w:val="auto"/>
        </w:rPr>
        <w:t>The Person serving as the Administrative Agent hereunder shall have the same rights and powers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7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9.03 Exculpatory Provisions.</w:t>
      </w:r>
    </w:p>
    <w:p>
      <w:pPr>
        <w:spacing w:after="0" w:line="220" w:lineRule="exact"/>
        <w:rPr>
          <w:sz w:val="20"/>
          <w:szCs w:val="20"/>
          <w:color w:val="auto"/>
        </w:rPr>
      </w:pPr>
    </w:p>
    <w:p>
      <w:pPr>
        <w:jc w:val="both"/>
        <w:ind w:firstLine="757"/>
        <w:spacing w:after="0" w:line="254" w:lineRule="auto"/>
        <w:tabs>
          <w:tab w:leader="none" w:pos="1018"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or the Arranger, as applicable, shall not have any duties or obligations except those expressly set forth herein and in the other Loan Documents, and its duties hereunder shall be administrative in nature. Without limiting the generality of the foregoing, the Administrative Agent or the Arranger, as applicable, and its Related Parties:</w:t>
      </w:r>
    </w:p>
    <w:p>
      <w:pPr>
        <w:spacing w:after="0" w:line="174" w:lineRule="exact"/>
        <w:rPr>
          <w:rFonts w:ascii="Times New Roman" w:cs="Times New Roman" w:eastAsia="Times New Roman" w:hAnsi="Times New Roman"/>
          <w:sz w:val="20"/>
          <w:szCs w:val="20"/>
          <w:color w:val="auto"/>
        </w:rPr>
      </w:pPr>
    </w:p>
    <w:p>
      <w:pPr>
        <w:ind w:left="1600" w:right="20"/>
        <w:spacing w:after="0" w:line="269" w:lineRule="auto"/>
        <w:tabs>
          <w:tab w:leader="none" w:pos="199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has occurred and is continuing;</w:t>
      </w:r>
    </w:p>
    <w:p>
      <w:pPr>
        <w:spacing w:after="0" w:line="159" w:lineRule="exact"/>
        <w:rPr>
          <w:rFonts w:ascii="Times New Roman" w:cs="Times New Roman" w:eastAsia="Times New Roman" w:hAnsi="Times New Roman"/>
          <w:sz w:val="20"/>
          <w:szCs w:val="20"/>
          <w:color w:val="auto"/>
        </w:rPr>
      </w:pPr>
    </w:p>
    <w:p>
      <w:pPr>
        <w:jc w:val="both"/>
        <w:ind w:left="1600"/>
        <w:spacing w:after="0" w:line="254" w:lineRule="auto"/>
        <w:tabs>
          <w:tab w:leader="none" w:pos="199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3" w:name="page294"/>
    <w:bookmarkEnd w:id="293"/>
    <w:p>
      <w:pPr>
        <w:jc w:val="both"/>
        <w:ind w:left="1600"/>
        <w:spacing w:after="0" w:line="245" w:lineRule="auto"/>
        <w:rPr>
          <w:sz w:val="20"/>
          <w:szCs w:val="20"/>
          <w:color w:val="auto"/>
        </w:rPr>
      </w:pPr>
      <w:r>
        <w:rPr>
          <w:rFonts w:ascii="Times New Roman" w:cs="Times New Roman" w:eastAsia="Times New Roman" w:hAnsi="Times New Roman"/>
          <w:sz w:val="20"/>
          <w:szCs w:val="20"/>
          <w:color w:val="auto"/>
        </w:rPr>
        <w:t>percentage of the Lenders as shall be expressly provided for herein or in the other Loan Documents), provided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4" w:lineRule="exact"/>
        <w:rPr>
          <w:sz w:val="20"/>
          <w:szCs w:val="20"/>
          <w:color w:val="auto"/>
        </w:rPr>
      </w:pPr>
    </w:p>
    <w:p>
      <w:pPr>
        <w:jc w:val="both"/>
        <w:ind w:left="1600"/>
        <w:spacing w:after="0" w:line="246" w:lineRule="auto"/>
        <w:tabs>
          <w:tab w:leader="none" w:pos="1996"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have any duty or responsibility to disclose, and shall not be liable for the failure to disclose, to any Lender or the L/C Issuer any credit or other information concerning the business, prospects, operations, property, financial and other condition or creditworthiness of any of the Loan Parties or any of their Affiliates that is communicated to, or in the possession of, the Administrative Agent, Arranger or any of their Related Parties in any capacity, except for notices, reports and other documents expressly required to be furnished to the Lenders by the Administrative Agent herein.</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8.02</w:t>
      </w:r>
      <w:r>
        <w:rPr>
          <w:rFonts w:ascii="Times New Roman" w:cs="Times New Roman" w:eastAsia="Times New Roman" w:hAnsi="Times New Roman"/>
          <w:sz w:val="20"/>
          <w:szCs w:val="20"/>
          <w:color w:val="auto"/>
        </w:rPr>
        <w:t>) or (ii) in the absence of its own gross negligence, willful misconduct or bad faith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the L/C Issuer.</w:t>
      </w:r>
    </w:p>
    <w:p>
      <w:pPr>
        <w:spacing w:after="0" w:line="185"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Article IV or elsewhere herein, other than to confirm receipt of items expressly required to be delivered to the Administrative Agent.</w:t>
      </w:r>
    </w:p>
    <w:p>
      <w:pPr>
        <w:spacing w:after="0" w:line="185"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9.04 Reliance by Administrative Agent. </w:t>
      </w:r>
      <w:r>
        <w:rPr>
          <w:rFonts w:ascii="Times New Roman" w:cs="Times New Roman" w:eastAsia="Times New Roman" w:hAnsi="Times New Roman"/>
          <w:sz w:val="20"/>
          <w:szCs w:val="20"/>
          <w:color w:val="auto"/>
        </w:rPr>
        <w:t>The Administrative Agent shall be entitled to rely upon, and shall not incur any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4" w:name="page295"/>
    <w:bookmarkEnd w:id="294"/>
    <w:p>
      <w:pPr>
        <w:jc w:val="both"/>
        <w:ind w:left="100"/>
        <w:spacing w:after="0" w:line="269" w:lineRule="auto"/>
        <w:rPr>
          <w:sz w:val="20"/>
          <w:szCs w:val="20"/>
          <w:color w:val="auto"/>
        </w:rPr>
      </w:pPr>
      <w:r>
        <w:rPr>
          <w:rFonts w:ascii="Times New Roman" w:cs="Times New Roman" w:eastAsia="Times New Roman" w:hAnsi="Times New Roman"/>
          <w:sz w:val="20"/>
          <w:szCs w:val="20"/>
          <w:color w:val="auto"/>
        </w:rPr>
        <w:t>counsel for the Company), independent accountants and other experts selected by it, and shall not be liable for any action taken or not taken by it in accordance with the advice of any such counsel, accountants or experts.</w:t>
      </w:r>
    </w:p>
    <w:p>
      <w:pPr>
        <w:spacing w:after="0" w:line="155" w:lineRule="exact"/>
        <w:rPr>
          <w:sz w:val="20"/>
          <w:szCs w:val="20"/>
          <w:color w:val="auto"/>
        </w:rPr>
      </w:pPr>
    </w:p>
    <w:p>
      <w:pPr>
        <w:jc w:val="both"/>
        <w:ind w:left="100" w:firstLine="749"/>
        <w:spacing w:after="0" w:line="239" w:lineRule="exact"/>
        <w:rPr>
          <w:sz w:val="20"/>
          <w:szCs w:val="20"/>
          <w:color w:val="auto"/>
        </w:rPr>
      </w:pPr>
      <w:r>
        <w:rPr>
          <w:rFonts w:ascii="Times New Roman" w:cs="Times New Roman" w:eastAsia="Times New Roman" w:hAnsi="Times New Roman"/>
          <w:sz w:val="20"/>
          <w:szCs w:val="20"/>
          <w:b w:val="1"/>
          <w:bCs w:val="1"/>
          <w:color w:val="auto"/>
        </w:rPr>
        <w:t xml:space="preserve">9.05 Delegation of Duties. </w:t>
      </w:r>
      <w:r>
        <w:rPr>
          <w:rFonts w:ascii="Times New Roman" w:cs="Times New Roman" w:eastAsia="Times New Roman" w:hAnsi="Times New Roman"/>
          <w:sz w:val="20"/>
          <w:szCs w:val="20"/>
          <w:color w:val="auto"/>
        </w:rPr>
        <w:t>The Administrative Agent may perform any and all of its duties and exercise its rights and powers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hereunder or under any other Loan Document by or through any one or more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appointed by the Administrative Agent. The Administrative Agent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to the Related Parties of the Administrative Agent and any such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 agents except to the extent that a court of competent jurisdiction determines in a final and non-appealable judgment that the Administrative Agent acted with gross negligence, willful misconduct or bad faith in the selection of such sub-agents.</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9.06 Resignation of Administrative Agent.</w:t>
      </w:r>
    </w:p>
    <w:p>
      <w:pPr>
        <w:spacing w:after="0" w:line="220" w:lineRule="exact"/>
        <w:rPr>
          <w:sz w:val="20"/>
          <w:szCs w:val="20"/>
          <w:color w:val="auto"/>
        </w:rPr>
      </w:pPr>
    </w:p>
    <w:p>
      <w:pPr>
        <w:jc w:val="both"/>
        <w:ind w:firstLine="757"/>
        <w:spacing w:after="0" w:line="243" w:lineRule="auto"/>
        <w:tabs>
          <w:tab w:leader="none" w:pos="101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at any time give notice of its resignation to the Company and Lenders, the L/C Issuer and the Company. Upon receipt of any such notice of resignation, the Required Lenders shall have the right, with the consent of the Company, to appoint a successor, which shall be a bank with an office in the United States, or an Affiliate of any such bank with an office in the United States. If no such successor shall have been so appointed by the Required Lenders and the Company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u w:val="single" w:color="auto"/>
          <w:color w:val="auto"/>
        </w:rPr>
        <w:t>Resignation Effective Date</w:t>
      </w:r>
      <w:r>
        <w:rPr>
          <w:rFonts w:ascii="Times New Roman" w:cs="Times New Roman" w:eastAsia="Times New Roman" w:hAnsi="Times New Roman"/>
          <w:sz w:val="20"/>
          <w:szCs w:val="20"/>
          <w:color w:val="auto"/>
        </w:rPr>
        <w:t>”), then the retiring Administrative Agent may (but shall not be obligated to) on behalf of the Lenders and the L/C Issuer,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Person serving as Administrative Agent is a Defaulting Lender pursuant to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the definition thereof, the Required Lenders or the Company may, to the extent permitted by applicable law, by notice in writing to the Company and such Person remove such Person as Administrative Agent and, with the consent of the Company, appoint a successor. If no such successor shall have been so appointed by the Required Lenders and shall have accepted such appointment within 30 days (or such earlier day as shall be agreed by the Required Lenders and accepted by the Company) (the “</w:t>
      </w:r>
      <w:r>
        <w:rPr>
          <w:rFonts w:ascii="Times New Roman" w:cs="Times New Roman" w:eastAsia="Times New Roman" w:hAnsi="Times New Roman"/>
          <w:sz w:val="20"/>
          <w:szCs w:val="20"/>
          <w:u w:val="single" w:color="auto"/>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4"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as the Required Lenders appoint a successor Administrative Agent as provided for above in this Section. Upon the acceptance of a successor’s appointment as Administrative Agent hereunder, such successor shall succeed to and become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5" w:name="page296"/>
    <w:bookmarkEnd w:id="295"/>
    <w:p>
      <w:pPr>
        <w:jc w:val="both"/>
        <w:spacing w:after="0" w:line="233" w:lineRule="exact"/>
        <w:rPr>
          <w:sz w:val="20"/>
          <w:szCs w:val="20"/>
          <w:color w:val="auto"/>
        </w:rPr>
      </w:pPr>
      <w:r>
        <w:rPr>
          <w:rFonts w:ascii="Times New Roman" w:cs="Times New Roman" w:eastAsia="Times New Roman" w:hAnsi="Times New Roman"/>
          <w:sz w:val="20"/>
          <w:szCs w:val="20"/>
          <w:color w:val="auto"/>
        </w:rPr>
        <w:t xml:space="preserve">vested with all of the rights, powers, privileges and duties of the retiring (or removed) Administrative Agent (other than as provided in </w:t>
      </w:r>
      <w:r>
        <w:rPr>
          <w:rFonts w:ascii="Times New Roman" w:cs="Times New Roman" w:eastAsia="Times New Roman" w:hAnsi="Times New Roman"/>
          <w:sz w:val="20"/>
          <w:szCs w:val="20"/>
          <w:u w:val="single" w:color="auto"/>
          <w:color w:val="auto"/>
        </w:rPr>
        <w:t>Section 3.01(g)</w:t>
      </w:r>
      <w:r>
        <w:rPr>
          <w:rFonts w:ascii="Times New Roman" w:cs="Times New Roman" w:eastAsia="Times New Roman" w:hAnsi="Times New Roman"/>
          <w:sz w:val="20"/>
          <w:szCs w:val="20"/>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 w:cs="Times New Roman" w:eastAsia="Times New Roman" w:hAnsi="Times New Roman"/>
          <w:sz w:val="20"/>
          <w:szCs w:val="20"/>
          <w:u w:val="single" w:color="auto"/>
          <w:color w:val="auto"/>
        </w:rPr>
        <w:t>Section 10.04</w:t>
      </w:r>
      <w:r>
        <w:rPr>
          <w:rFonts w:ascii="Times New Roman" w:cs="Times New Roman" w:eastAsia="Times New Roman" w:hAnsi="Times New Roman"/>
          <w:sz w:val="20"/>
          <w:szCs w:val="20"/>
          <w:color w:val="auto"/>
        </w:rPr>
        <w:t xml:space="preserve"> shall continue in effect for the benefit of such retiring or removed Administrative Agent, its sub</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9" w:lineRule="exact"/>
        <w:rPr>
          <w:sz w:val="20"/>
          <w:szCs w:val="20"/>
          <w:color w:val="auto"/>
        </w:rPr>
      </w:pPr>
    </w:p>
    <w:p>
      <w:pPr>
        <w:jc w:val="both"/>
        <w:ind w:firstLine="757"/>
        <w:spacing w:after="0" w:line="241" w:lineRule="auto"/>
        <w:tabs>
          <w:tab w:leader="none" w:pos="1018"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Appropriate Lenders to make Base Rate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either Bank of America resigns as U.S. Swing Line Lender or Bank of America resigns as Global Swing Line Lender, Bank of America or Bank of America, as applicable, shall retain all the rights of the applicable Swing Line Lender provided for hereunder with respect to the Swing Line Loans made by it and outstanding as of the effective date of such resignation, including the right to require the Appropriate Lenders to make Base Rate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and Swing Line Lender,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90" w:lineRule="exact"/>
        <w:rPr>
          <w:sz w:val="20"/>
          <w:szCs w:val="20"/>
          <w:color w:val="auto"/>
        </w:rPr>
      </w:pPr>
    </w:p>
    <w:p>
      <w:pPr>
        <w:jc w:val="both"/>
        <w:ind w:left="100"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9.07 Non-Reliance on Administrative Agent, the Arranger, the Sustainability Coordinator and Other Lenders. </w:t>
      </w:r>
      <w:r>
        <w:rPr>
          <w:rFonts w:ascii="Times New Roman" w:cs="Times New Roman" w:eastAsia="Times New Roman" w:hAnsi="Times New Roman"/>
          <w:sz w:val="20"/>
          <w:szCs w:val="20"/>
          <w:color w:val="auto"/>
        </w:rPr>
        <w:t>Each Lender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the L/C Issuer expressly acknowledges that none of the Administrative Agent, the Sustainability Coordinator nor the Arranger has made any representation or warranty to it, and that no act by the Administrative Agent, the Sustainability Coordinator or the Arranger hereafter taken, including any consent to, and acceptance of any assignment or review of the affairs of any Loan Party or any Affiliate thereof, shall be deemed to constitute any representation or warranty by the Administrative Agent, the Sustainability Coordinator or the Arranger to any Lender or the L/C Issuer as to any matter, including whether the Administrative Agent or the Arranger have disclosed material information in their (or their Related Parties’) possession. Each Lender and the L/C Issuer represents to the Administrative Agent, the Sustainability Coordinator and the Arranger that it has, independently and without reliance upon the Administrative Agent, the Sustainability Coordinator,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6" w:name="page297"/>
    <w:bookmarkEnd w:id="296"/>
    <w:p>
      <w:pPr>
        <w:jc w:val="both"/>
        <w:ind w:left="100"/>
        <w:spacing w:after="0" w:line="241" w:lineRule="auto"/>
        <w:rPr>
          <w:sz w:val="20"/>
          <w:szCs w:val="20"/>
          <w:color w:val="auto"/>
        </w:rPr>
      </w:pPr>
      <w:r>
        <w:rPr>
          <w:rFonts w:ascii="Times New Roman" w:cs="Times New Roman" w:eastAsia="Times New Roman" w:hAnsi="Times New Roman"/>
          <w:sz w:val="20"/>
          <w:szCs w:val="20"/>
          <w:color w:val="auto"/>
        </w:rPr>
        <w:t>Subsidiaries, and all applicable bank or other regulatory Laws relating to the transactions contemplated hereby, and made its own decision to enter into this Agreement and to extend credit to the Company hereunder. Each Lender and the L/C Issuer also acknowledges that it will, independently and without reliance upon the Administrative Agent, the Sustainability Coordinator,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the L/C Issuer agrees not to assert a claim in contravention of the foregoing. Each Lender and the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9"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9.08 No Other Duties, Etc. </w:t>
      </w:r>
      <w:r>
        <w:rPr>
          <w:rFonts w:ascii="Times New Roman" w:cs="Times New Roman" w:eastAsia="Times New Roman" w:hAnsi="Times New Roman"/>
          <w:sz w:val="20"/>
          <w:szCs w:val="20"/>
          <w:color w:val="auto"/>
        </w:rPr>
        <w:t>Anything herein to the contrary notwithstanding, none of the Arrangers, Syndication Agents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Documentation Agents listed on the cover page hereof shall have any powers, duties or responsibilities under this Agreement or any of the other Loan Documents, except in its capacity, as applicable, as the Administrative Agent, a Lender or the L/C Issuer hereunder.</w:t>
      </w:r>
    </w:p>
    <w:p>
      <w:pPr>
        <w:spacing w:after="0" w:line="169" w:lineRule="exact"/>
        <w:rPr>
          <w:sz w:val="20"/>
          <w:szCs w:val="20"/>
          <w:color w:val="auto"/>
        </w:rPr>
      </w:pPr>
    </w:p>
    <w:p>
      <w:pPr>
        <w:jc w:val="both"/>
        <w:ind w:left="10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9.09 Administrative Agent May File Proofs of Claim; Credit Bidding</w:t>
      </w:r>
      <w:r>
        <w:rPr>
          <w:rFonts w:ascii="Times New Roman" w:cs="Times New Roman" w:eastAsia="Times New Roman" w:hAnsi="Times New Roman"/>
          <w:sz w:val="20"/>
          <w:szCs w:val="20"/>
          <w:color w:val="auto"/>
        </w:rPr>
        <w:t>. In case of the pendency of any proceeding under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184" w:lineRule="exact"/>
        <w:rPr>
          <w:sz w:val="20"/>
          <w:szCs w:val="20"/>
          <w:color w:val="auto"/>
        </w:rPr>
      </w:pPr>
    </w:p>
    <w:p>
      <w:pPr>
        <w:jc w:val="both"/>
        <w:ind w:firstLine="757"/>
        <w:spacing w:after="0" w:line="245" w:lineRule="auto"/>
        <w:tabs>
          <w:tab w:leader="none" w:pos="1018"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Times New Roman" w:cs="Times New Roman" w:eastAsia="Times New Roman" w:hAnsi="Times New Roman"/>
          <w:sz w:val="20"/>
          <w:szCs w:val="20"/>
          <w:u w:val="single" w:color="auto"/>
          <w:color w:val="auto"/>
        </w:rPr>
        <w:t>Sections 2.03(h)</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allowed in such judicial proceeding; and</w:t>
      </w:r>
    </w:p>
    <w:p>
      <w:pPr>
        <w:spacing w:after="0" w:line="18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 same;</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2.09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7" w:name="page298"/>
    <w:bookmarkEnd w:id="297"/>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(i) of </w:t>
      </w:r>
      <w:r>
        <w:rPr>
          <w:rFonts w:ascii="Times New Roman" w:cs="Times New Roman" w:eastAsia="Times New Roman" w:hAnsi="Times New Roman"/>
          <w:sz w:val="19"/>
          <w:szCs w:val="19"/>
          <w:u w:val="single" w:color="auto"/>
          <w:color w:val="auto"/>
        </w:rPr>
        <w:t>Section 10.01</w:t>
      </w:r>
      <w:r>
        <w:rPr>
          <w:rFonts w:ascii="Times New Roman" w:cs="Times New Roman" w:eastAsia="Times New Roman" w:hAnsi="Times New Roman"/>
          <w:sz w:val="19"/>
          <w:szCs w:val="19"/>
          <w:color w:val="auto"/>
        </w:rPr>
        <w:t xml:space="preserve"> of this Agreement),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22" w:lineRule="exact"/>
        <w:rPr>
          <w:sz w:val="20"/>
          <w:szCs w:val="20"/>
          <w:color w:val="auto"/>
        </w:rPr>
      </w:pPr>
    </w:p>
    <w:p>
      <w:pPr>
        <w:ind w:left="100" w:right="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9.10 Collateral and Guaranty Matters</w:t>
      </w:r>
      <w:r>
        <w:rPr>
          <w:rFonts w:ascii="Times New Roman" w:cs="Times New Roman" w:eastAsia="Times New Roman" w:hAnsi="Times New Roman"/>
          <w:sz w:val="20"/>
          <w:szCs w:val="20"/>
          <w:color w:val="auto"/>
        </w:rPr>
        <w:t>. Without limiting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each of the Lenders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in its capacities as a potential Secured Ancillary Lender) and the L/C Issuer and the Administrative Agent, hereby agree that,</w:t>
      </w:r>
    </w:p>
    <w:p>
      <w:pPr>
        <w:spacing w:after="0" w:line="156" w:lineRule="exact"/>
        <w:rPr>
          <w:sz w:val="20"/>
          <w:szCs w:val="20"/>
          <w:color w:val="auto"/>
        </w:rPr>
      </w:pPr>
    </w:p>
    <w:p>
      <w:pPr>
        <w:jc w:val="both"/>
        <w:ind w:firstLine="757"/>
        <w:spacing w:after="0" w:line="245" w:lineRule="auto"/>
        <w:tabs>
          <w:tab w:leader="none" w:pos="1018"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Lien on any property granted to or held by the Administrative Agent under any Loan Document shall be automatically released (i) upon termination of the Aggregate Commitments and payment in full of all Obligations (other than (A) contingent indemnification obligations and (B) Ancillary Obligations as to which arrangements satisfactory to the applicable Secured Ancillary Lender shall have been made) and the expiration or termination of all Letters of Credit (other than Letters of Credit as to which other arrangements satisfactory to the Administrative Agent and the L/C Issuer shall have been made), (ii) upon the sale, disposition or transfer of such property of as part of or in connection with any sale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8" w:name="page299"/>
    <w:bookmarkEnd w:id="298"/>
    <w:p>
      <w:pPr>
        <w:spacing w:after="0" w:line="269" w:lineRule="auto"/>
        <w:rPr>
          <w:sz w:val="20"/>
          <w:szCs w:val="20"/>
          <w:color w:val="auto"/>
        </w:rPr>
      </w:pPr>
      <w:r>
        <w:rPr>
          <w:rFonts w:ascii="Times New Roman" w:cs="Times New Roman" w:eastAsia="Times New Roman" w:hAnsi="Times New Roman"/>
          <w:sz w:val="20"/>
          <w:szCs w:val="20"/>
          <w:color w:val="auto"/>
        </w:rPr>
        <w:t xml:space="preserve">or other disposition permitted hereunder or under any other Loan Document to a Person that is not a Loan Party, or (iii) if approved, authorized or ratified in writing in accordance with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10.25</w:t>
      </w:r>
      <w:r>
        <w:rPr>
          <w:rFonts w:ascii="Times New Roman" w:cs="Times New Roman" w:eastAsia="Times New Roman" w:hAnsi="Times New Roman"/>
          <w:sz w:val="20"/>
          <w:szCs w:val="20"/>
          <w:color w:val="auto"/>
        </w:rPr>
        <w:t>, as applicable;</w:t>
      </w:r>
    </w:p>
    <w:p>
      <w:pPr>
        <w:spacing w:after="0" w:line="159" w:lineRule="exact"/>
        <w:rPr>
          <w:sz w:val="20"/>
          <w:szCs w:val="20"/>
          <w:color w:val="auto"/>
        </w:rPr>
      </w:pPr>
    </w:p>
    <w:p>
      <w:pPr>
        <w:jc w:val="both"/>
        <w:ind w:firstLine="757"/>
        <w:spacing w:after="0" w:line="254" w:lineRule="auto"/>
        <w:tabs>
          <w:tab w:leader="none" w:pos="101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Guarantor shall be automatically released from its obligations under the Subsidiary Guaranty if such Person (i) ceases to be a Subsidiary as a result of a transaction permitted hereunder or (ii) at the request of the Company, if such Subsidiary later qualifies as an Excluded Subsidiary (through transactions not otherwise prohibited hereunder); and</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will, and the Lenders irrevocably authorize the Administrative Agent to subordinate or release any Lien on any property granted to or held by the Administrative Agent for the benefit of the Secured Parties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7.01(e)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In each case as specified in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 xml:space="preserve">, the Administrative Agent will, at the Company’s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Subsidiary Guaranty, in each case in accordance with the terms of the Loan Documents and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100"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9.11 Secured Ancillary Agreements</w:t>
      </w:r>
      <w:r>
        <w:rPr>
          <w:rFonts w:ascii="Times New Roman" w:cs="Times New Roman" w:eastAsia="Times New Roman" w:hAnsi="Times New Roman"/>
          <w:sz w:val="20"/>
          <w:szCs w:val="20"/>
          <w:color w:val="auto"/>
        </w:rPr>
        <w:t>. No Secured Ancillary Lender that obtains the benefits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any Collateral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Document or the Subsidiary Guaranty by virtue of the provisions hereof or of any Collateral Document or the Subsidiary Guaranty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to the contrary, the Administrative Agent shall not be required to verify the payment of, or that other satisfactory arrangements have been made with respect to, Obligations arising under Secured Ancillary Agreements unless the Administrative Agent has received written notice of such Obligations, together with such supporting documentation as the Administrative Agent may request, from the applicable Secured Ancillary Lender, as the case may be.</w:t>
      </w:r>
    </w:p>
    <w:p>
      <w:pPr>
        <w:spacing w:after="0" w:line="19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The parties hereto hereby acknowledge and agree that, on the date on which all Obligations (including any then due and owing indemnity obligations hereunder but excluding any Ancillary Obligations) shall be indefeasibly paid in full in cash other than (A) contingent indemnification obligations and (B) Ancillary Obligations as to which arrangements satisfactory to the applicable Secured Ancillary Lender shall have been made), and the Aggregate Commitments hereunder shall have been terminated (all of which shall occur in accordance with the terms of the Loan Documents and whether or not any Ancillary Obligations remain outstanding), any benefits obtained by any Secured Ancillary Lender pursuant to any Loan Document shall terminate, regardless of whether any Ancillary Obligations remain outstanding.</w:t>
      </w:r>
    </w:p>
    <w:p>
      <w:pPr>
        <w:spacing w:after="0" w:line="16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9.12 Lender Representations Regarding ERISA</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54" w:lineRule="auto"/>
        <w:tabs>
          <w:tab w:leader="none" w:pos="1018"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9" w:name="page300"/>
    <w:bookmarkEnd w:id="299"/>
    <w:p>
      <w:pPr>
        <w:spacing w:after="0" w:line="269" w:lineRule="auto"/>
        <w:rPr>
          <w:sz w:val="20"/>
          <w:szCs w:val="20"/>
          <w:color w:val="auto"/>
        </w:rPr>
      </w:pPr>
      <w:r>
        <w:rPr>
          <w:rFonts w:ascii="Times New Roman" w:cs="Times New Roman" w:eastAsia="Times New Roman" w:hAnsi="Times New Roman"/>
          <w:sz w:val="20"/>
          <w:szCs w:val="20"/>
          <w:color w:val="auto"/>
        </w:rPr>
        <w:t>and their respective Affiliates and not, for the avoidance of doubt, to or for the benefit of the Company or any other Loan Party, that at least one of the following is and will be true:</w:t>
      </w:r>
    </w:p>
    <w:p>
      <w:pPr>
        <w:spacing w:after="0" w:line="159" w:lineRule="exact"/>
        <w:rPr>
          <w:sz w:val="20"/>
          <w:szCs w:val="20"/>
          <w:color w:val="auto"/>
        </w:rPr>
      </w:pPr>
    </w:p>
    <w:p>
      <w:pPr>
        <w:jc w:val="both"/>
        <w:ind w:left="760" w:firstLine="745"/>
        <w:spacing w:after="0" w:line="254" w:lineRule="auto"/>
        <w:tabs>
          <w:tab w:leader="none" w:pos="204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left="760" w:firstLine="745"/>
        <w:spacing w:after="0" w:line="244" w:lineRule="auto"/>
        <w:tabs>
          <w:tab w:leader="none" w:pos="204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the Loan Documents;</w:t>
      </w:r>
    </w:p>
    <w:p>
      <w:pPr>
        <w:spacing w:after="0" w:line="185"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204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the Loan Documents, (C) the entrance into, participation in, administration of and performance of the Loans, the Letters of Credit, the Commitments and the Loan Documents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the Loan Documents; or</w:t>
      </w:r>
    </w:p>
    <w:p>
      <w:pPr>
        <w:spacing w:after="0" w:line="18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757"/>
        <w:spacing w:after="0" w:line="243" w:lineRule="auto"/>
        <w:tabs>
          <w:tab w:leader="none" w:pos="1018"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in the immediately preceding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neither the Administrative Agent, either Arranger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9.13 Recovery of Erroneous Payments.</w:t>
      </w:r>
    </w:p>
    <w:p>
      <w:pPr>
        <w:spacing w:after="0" w:line="220"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0"/>
          <w:szCs w:val="20"/>
          <w:color w:val="auto"/>
        </w:rPr>
        <w:t>Without limitation of any other provision in this Agreement, if at any time the Administrative Agent makes a payment hereunder in error to any Lender Recipient Party, whether or not in respect of an Obligation due and owing by Company at such time, where such payment is a Rescindable Amount, then in any such event, each Lender Recipient Party receiving a Rescindable Amount severally agrees to repay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0" w:name="page301"/>
    <w:bookmarkEnd w:id="300"/>
    <w:p>
      <w:pPr>
        <w:jc w:val="both"/>
        <w:ind w:left="100"/>
        <w:spacing w:after="0" w:line="243" w:lineRule="auto"/>
        <w:rPr>
          <w:sz w:val="20"/>
          <w:szCs w:val="20"/>
          <w:color w:val="auto"/>
        </w:rPr>
      </w:pPr>
      <w:r>
        <w:rPr>
          <w:rFonts w:ascii="Times New Roman" w:cs="Times New Roman" w:eastAsia="Times New Roman" w:hAnsi="Times New Roman"/>
          <w:sz w:val="20"/>
          <w:szCs w:val="20"/>
          <w:color w:val="auto"/>
        </w:rPr>
        <w:t>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9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10.01 Amendments, Etc. </w:t>
      </w:r>
      <w:r>
        <w:rPr>
          <w:rFonts w:ascii="Times New Roman" w:cs="Times New Roman" w:eastAsia="Times New Roman" w:hAnsi="Times New Roman"/>
          <w:sz w:val="20"/>
          <w:szCs w:val="20"/>
          <w:color w:val="auto"/>
        </w:rPr>
        <w:t>No amendment or waiver of any provision of this Agreement or any other Loan Document, and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consent to any departure by the Company or any other Loan Party therefrom, shall be effective unless in writing signed by the Required Lenders (or by the Administrative Agent with the consent or ratification of the Required Lenders or such other number or percentage of Lenders as may be specified herein) and the Company or the applicable Loan Party, as the case may be, and acknowledged by the Administrative Agent, and each such waiver or consent shall be effective only in the specific instance and for the specific purpose for which given;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if the Administrative Agent and the Company shall have jointly identified an obvious error or any error or omission of an immaterial nature, in each case in any provision of any Loan Document, then the Administrative Agent and the Company shall be permitted to amend such provision and such amendment shall become effective without any further action or consent of any other party to any Loan Document if the same is not objected to in writing by the Required Lenders within ten Business Days following receipt of notice thereof, and (y) no such amendment, waiver or consent shall:</w:t>
      </w:r>
    </w:p>
    <w:p>
      <w:pPr>
        <w:spacing w:after="0" w:line="186" w:lineRule="exact"/>
        <w:rPr>
          <w:sz w:val="20"/>
          <w:szCs w:val="20"/>
          <w:color w:val="auto"/>
        </w:rPr>
      </w:pPr>
    </w:p>
    <w:p>
      <w:pPr>
        <w:ind w:left="1020" w:hanging="263"/>
        <w:spacing w:after="0"/>
        <w:tabs>
          <w:tab w:leader="none" w:pos="1020"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waive any condition set forth in clause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without the written consent of each Lender;</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Commitment terminated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without the written consent of such Lender;</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or prepayment of principal, interest, fees or other amounts due to the Lenders (or any of them) or any scheduled or mandatory reduction of any Facility hereunder or under any other Loan Document without the written consent of each Lender directly affected thereby;</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L/C Borrowing, or (subject to clause (iv) of the second proviso to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any fees or other amounts payable hereunder or under any other Loan Document without the written consent of each Lender directly affected thereby;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only the consent of the Required Lenders shall be necessary to amend the definition of “Default Rate” or to waive any obligation of any Borrower to pay interest or Letter of Credit Fees at the Default Rate.</w:t>
      </w:r>
    </w:p>
    <w:p>
      <w:pPr>
        <w:spacing w:after="0" w:line="17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change Section 8.03, (ii) change Section 2.13 in a manner that would alter the pro rata sharing of payments required thereby without the written consent of each Lender, or (iii) subordinate, or have the effect of subordinating, the Obligations hereunder to any Indebtedness or other obligation, in any case, without the written consent of each Lender;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1" w:name="page302"/>
    <w:bookmarkEnd w:id="301"/>
    <w:p>
      <w:pPr>
        <w:ind w:firstLine="757"/>
        <w:spacing w:after="0" w:line="269" w:lineRule="auto"/>
        <w:tabs>
          <w:tab w:leader="none" w:pos="101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or the definition of “Alternative Currency”, “Alternative Currency Daily Rate” or “Alternative Currency Term Rate” without the written consent of each Lender;</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Company from the Company Guaranty or all or substantially all of the value of the Subsidiary Guaranty, in either case, without the written consent of each Lender, except to the extent the release of any Subsidiary Guarantor is permitted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9.10</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Company (from its obligations as a Borrower) or any Designated Borrower, except in connection with the termination of a Designated Borrower’s status as such under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or otherwise in connection with a transaction otherwise permitted under this Agreement;</w:t>
      </w:r>
    </w:p>
    <w:p>
      <w:pPr>
        <w:spacing w:after="0" w:line="17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applicable Swing Line Lender in addition to the Lenders required above, affect the rights or duties of such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Notwithstanding any provision herein to the contrary, this Agreement may be amended with the written consent of the Administrative Agent, the L/C Issuer, the Company and the Lenders affected thereby to amend the definition of “Alternative Currency” or “Alternative Currency Daily Rate” or “Alternative Currency Term Rate” or Section 1.06 solely to add additional currency options and the applicable interest rate with respect thereto, in each case solely to the extent permitted pursuant to Section 1.06.</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If any Lender does not consent to a proposed amendment, waiver, consent or release with respect to any Loan Document that requires the consent of each Lender and that has been approved by the Required Lenders, the Company may replace such non-consenting Lender in accordance with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 waiver, consent or release can be effected as a result of the assignment contemplated by such Section (together with all other such assignments required by the Company to be made pursuant hereto).</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10.02 Notices; Effectiveness; Electronic Communication.</w:t>
      </w:r>
    </w:p>
    <w:p>
      <w:pPr>
        <w:spacing w:after="0" w:line="220" w:lineRule="exact"/>
        <w:rPr>
          <w:sz w:val="20"/>
          <w:szCs w:val="20"/>
          <w:color w:val="auto"/>
        </w:rPr>
      </w:pPr>
    </w:p>
    <w:p>
      <w:pPr>
        <w:jc w:val="both"/>
        <w:ind w:firstLine="757"/>
        <w:spacing w:after="0" w:line="254" w:lineRule="auto"/>
        <w:tabs>
          <w:tab w:leader="none" w:pos="1018"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expressly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2" w:name="page303"/>
    <w:bookmarkEnd w:id="302"/>
    <w:p>
      <w:pPr>
        <w:spacing w:after="0" w:line="269" w:lineRule="auto"/>
        <w:rPr>
          <w:sz w:val="20"/>
          <w:szCs w:val="20"/>
          <w:color w:val="auto"/>
        </w:rPr>
      </w:pPr>
      <w:r>
        <w:rPr>
          <w:rFonts w:ascii="Times New Roman" w:cs="Times New Roman" w:eastAsia="Times New Roman" w:hAnsi="Times New Roman"/>
          <w:sz w:val="20"/>
          <w:szCs w:val="20"/>
          <w:color w:val="auto"/>
        </w:rPr>
        <w:t>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59" w:lineRule="exact"/>
        <w:rPr>
          <w:sz w:val="20"/>
          <w:szCs w:val="20"/>
          <w:color w:val="auto"/>
        </w:rPr>
      </w:pPr>
    </w:p>
    <w:p>
      <w:pPr>
        <w:ind w:firstLine="757"/>
        <w:spacing w:after="0" w:line="269" w:lineRule="auto"/>
        <w:tabs>
          <w:tab w:leader="none" w:pos="101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to a Borrower, the Administrative Agent, the L/C Issuer, the U.S. Swing Line Lender or the Global Swing Line Lender, to the address, fax number, e-mail address or telephone number specified for such Person on </w:t>
      </w:r>
      <w:r>
        <w:rPr>
          <w:rFonts w:ascii="Times New Roman" w:cs="Times New Roman" w:eastAsia="Times New Roman" w:hAnsi="Times New Roman"/>
          <w:sz w:val="20"/>
          <w:szCs w:val="20"/>
          <w:u w:val="single" w:color="auto"/>
          <w:color w:val="auto"/>
        </w:rPr>
        <w:t>Schedule 10.02</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other Lender, to the address, fax number, e-mail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such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757"/>
        <w:spacing w:after="0" w:line="235" w:lineRule="exact"/>
        <w:tabs>
          <w:tab w:leader="none" w:pos="1018"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Notices and other communications to the Lenders and the L/C Issuer hereunder may be delivered or furnished by electronic communication (including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L/C Issuer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Company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9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w:t>
      </w:r>
    </w:p>
    <w:p>
      <w:pPr>
        <w:ind w:left="240" w:hanging="232"/>
        <w:spacing w:after="0"/>
        <w:tabs>
          <w:tab w:leader="none" w:pos="240"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w:t>
      </w:r>
    </w:p>
    <w:p>
      <w:pPr>
        <w:ind w:right="20" w:firstLine="8"/>
        <w:spacing w:after="0" w:line="246" w:lineRule="auto"/>
        <w:tabs>
          <w:tab w:leader="none" w:pos="236"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if such notice or other communication is not sent during the normal business hours of the recipient, such notice or communication shall be deemed to have been sent at the opening of business on the next business day for the recipient,.</w:t>
      </w:r>
    </w:p>
    <w:p>
      <w:pPr>
        <w:spacing w:after="0" w:line="181" w:lineRule="exact"/>
        <w:rPr>
          <w:rFonts w:ascii="Times New Roman" w:cs="Times New Roman" w:eastAsia="Times New Roman" w:hAnsi="Times New Roman"/>
          <w:sz w:val="20"/>
          <w:szCs w:val="20"/>
          <w:u w:val="single" w:color="auto"/>
          <w:color w:val="auto"/>
        </w:rPr>
      </w:pPr>
    </w:p>
    <w:p>
      <w:pPr>
        <w:jc w:val="both"/>
        <w:ind w:firstLine="757"/>
        <w:spacing w:after="0" w:line="243" w:lineRule="auto"/>
        <w:tabs>
          <w:tab w:leader="none" w:pos="1018" w:val="left"/>
        </w:tabs>
        <w:numPr>
          <w:ilvl w:val="1"/>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The Platform</w:t>
      </w:r>
      <w:r>
        <w:rPr>
          <w:rFonts w:ascii="Times New Roman" w:cs="Times New Roman" w:eastAsia="Times New Roman" w:hAnsi="Times New Roman"/>
          <w:sz w:val="20"/>
          <w:szCs w:val="20"/>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20"/>
          <w:szCs w:val="20"/>
          <w:u w:val="single" w:color="auto"/>
          <w:color w:val="auto"/>
        </w:rPr>
        <w:t>Agent Parties</w:t>
      </w:r>
      <w:r>
        <w:rPr>
          <w:rFonts w:ascii="Times New Roman" w:cs="Times New Roman" w:eastAsia="Times New Roman" w:hAnsi="Times New Roman"/>
          <w:sz w:val="20"/>
          <w:szCs w:val="20"/>
          <w:color w:val="auto"/>
        </w:rPr>
        <w:t>”) have any liability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3" w:name="page304"/>
    <w:bookmarkEnd w:id="303"/>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any Borrower, any Lender, the L/C Issuer or any other Person for losses, claims, damages, liabilities or expenses of any kind (whether in tort, contract or otherwise) arising out of any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willful misconduct or bad faith of such Agent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Agent Party have any liability to any Borrower, any Lender, the L/C Issuer or any other Person for indirect, special, incidental, consequential or punitive damages (as opposed to direct or actual damages).</w:t>
      </w:r>
    </w:p>
    <w:p>
      <w:pPr>
        <w:spacing w:after="0" w:line="184" w:lineRule="exact"/>
        <w:rPr>
          <w:sz w:val="20"/>
          <w:szCs w:val="20"/>
          <w:color w:val="auto"/>
        </w:rPr>
      </w:pPr>
    </w:p>
    <w:p>
      <w:pPr>
        <w:jc w:val="both"/>
        <w:ind w:firstLine="757"/>
        <w:spacing w:after="0" w:line="242" w:lineRule="auto"/>
        <w:tabs>
          <w:tab w:leader="none" w:pos="1018"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Each of the Company, the other Loan Parties, the Administrative Agent, the L/C Issuer and each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 the U.S. Swing Line Lender and the Global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187" w:lineRule="exact"/>
        <w:rPr>
          <w:rFonts w:ascii="Times New Roman" w:cs="Times New Roman" w:eastAsia="Times New Roman" w:hAnsi="Times New Roman"/>
          <w:sz w:val="20"/>
          <w:szCs w:val="20"/>
          <w:color w:val="auto"/>
        </w:rPr>
      </w:pPr>
    </w:p>
    <w:p>
      <w:pPr>
        <w:jc w:val="both"/>
        <w:ind w:firstLine="757"/>
        <w:spacing w:after="0" w:line="258" w:lineRule="auto"/>
        <w:tabs>
          <w:tab w:leader="none" w:pos="1018"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Reliance by Administrative Agent, L/C Issuer and Lenders</w:t>
      </w:r>
      <w:r>
        <w:rPr>
          <w:rFonts w:ascii="Times New Roman" w:cs="Times New Roman" w:eastAsia="Times New Roman" w:hAnsi="Times New Roman"/>
          <w:sz w:val="19"/>
          <w:szCs w:val="19"/>
          <w:color w:val="auto"/>
        </w:rPr>
        <w:t>. The Administrative Agent, the L/C Issuer and the Lenders shall be entitled to rely and act upon any notices (including telephonic or electronic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the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10.03 No Waiver; Cumulative Remedies; Enforcement. </w:t>
      </w:r>
      <w:r>
        <w:rPr>
          <w:rFonts w:ascii="Times New Roman" w:cs="Times New Roman" w:eastAsia="Times New Roman" w:hAnsi="Times New Roman"/>
          <w:sz w:val="20"/>
          <w:szCs w:val="20"/>
          <w:color w:val="auto"/>
        </w:rPr>
        <w:t>No failure by any Lender, the L/C Issuer or the Administrative Agent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for the benefit of all the Lenders and the L/C Issuer;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4" w:name="page305"/>
    <w:bookmarkEnd w:id="30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foregoing shall not prohibit (a) the Administrative Agent from exercising on its own behalf the rights and remedies that inure to its benefit (solely in its capacity as Administrative Agent) hereunder and under the other Loan Documents, (b) the L/C Issuer or any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or (d) any Lender from filing proofs of claim or appearing and filing pleadings on its own behalf during the pendency of a proceeding relative to any Loan Party under any Debtor Relief Law;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xml:space="preserve"> and (ii) in addition to the matters set forth in clauses (b), (c) and (d) of the preceding proviso and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any Lender may, with the consent of the Required Lenders, enforce any rights and remedies available to it and as authorized by the Required Lenders.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10.04 Expenses; Indemnity; Damage Waiver.</w:t>
      </w:r>
    </w:p>
    <w:p>
      <w:pPr>
        <w:spacing w:after="0" w:line="220" w:lineRule="exact"/>
        <w:rPr>
          <w:sz w:val="20"/>
          <w:szCs w:val="20"/>
          <w:color w:val="auto"/>
        </w:rPr>
      </w:pPr>
    </w:p>
    <w:p>
      <w:pPr>
        <w:jc w:val="both"/>
        <w:ind w:firstLine="757"/>
        <w:spacing w:after="0" w:line="241" w:lineRule="auto"/>
        <w:tabs>
          <w:tab w:leader="none" w:pos="101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Company shall pay (i) all reasonable and documented out-of-pocket expenses incurred by the Administrative Agent and its Affiliates (including the reasonable and documented fees, charges and disbursements of single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the L/C Issuer in connection with the issuance, amendment, renewal or extension of any Letter of Credit or any demand for payment thereunder and (iii) all documented out-of-pocket expenses incurred by the Administrative Agent, any Lender or the L/C Issuer (which in the case of legal fees and expenses shall be limited to those of a single counsel to the Administrative Agent, the Lenders and the L/C Issuer, taken as a whole, in each relevant jurisdiction and, in the case of a bona fide conflict of interest, one additional legal counsel per class of similarly situated affected parties in each relevant jurisdiction), and shall pay all fees and time charges for attorneys who may be employees of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95"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Company</w:t>
      </w:r>
      <w:r>
        <w:rPr>
          <w:rFonts w:ascii="Times New Roman" w:cs="Times New Roman" w:eastAsia="Times New Roman" w:hAnsi="Times New Roman"/>
          <w:sz w:val="20"/>
          <w:szCs w:val="20"/>
          <w:color w:val="auto"/>
        </w:rPr>
        <w:t>. The Company shall indemnify the Administrative Agent (and any sub-agent thereof), each Lender and the L/C Issuer, and each Related Party of any of the foregoing Persons (each such Person being called an “</w:t>
      </w: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(which in the case of legal fees and expenses shall be limited to the fees, charges and disbursements of a single counsel for the Indemnitees, taken as a whole, in each relevant jurisdiction and, in the case of a bona fide conflict of interest, one additional counsel per class of similarly situated affected parties), incurred by any Indemnitee or asserted against any Indemnitee by any Person (including any Borrower or any other Loan Party) other than such Indemnitee and its Related Parties arising out of, in connection with, or as a result of (i) the execution or delivery of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5" w:name="page306"/>
    <w:bookmarkEnd w:id="305"/>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any matters addressed in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willful misconduct or bad faith of such Indemnitee or its Related Party or (y) result from a claim brought by the Company or any other Loan Party against an Indemnitee for a material breach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Times New Roman" w:cs="Times New Roman" w:eastAsia="Times New Roman" w:hAnsi="Times New Roman"/>
          <w:sz w:val="20"/>
          <w:szCs w:val="20"/>
          <w:u w:val="single" w:color="auto"/>
          <w:color w:val="auto"/>
        </w:rPr>
        <w:t>Section 3.01(c)</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10.04(b)</w:t>
      </w:r>
      <w:r>
        <w:rPr>
          <w:rFonts w:ascii="Times New Roman" w:cs="Times New Roman" w:eastAsia="Times New Roman" w:hAnsi="Times New Roman"/>
          <w:sz w:val="20"/>
          <w:szCs w:val="20"/>
          <w:color w:val="auto"/>
        </w:rPr>
        <w:t xml:space="preserve"> shall not apply with respect to Taxes other than any Taxes that represent losses, claims, damages, etc. arising from any non-Tax claim.</w:t>
      </w:r>
    </w:p>
    <w:p>
      <w:pPr>
        <w:spacing w:after="0" w:line="196" w:lineRule="exact"/>
        <w:rPr>
          <w:sz w:val="20"/>
          <w:szCs w:val="20"/>
          <w:color w:val="auto"/>
        </w:rPr>
      </w:pPr>
    </w:p>
    <w:p>
      <w:pPr>
        <w:jc w:val="both"/>
        <w:ind w:firstLine="757"/>
        <w:spacing w:after="0" w:line="242" w:lineRule="auto"/>
        <w:tabs>
          <w:tab w:leader="none" w:pos="1018"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Loan Parties for any reason fail to indefeasibly pay any amount required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Section to be paid by the Company to the Administrative Agent (or any sub-agent thereof), the L/C Issuer, the U.S. Swing Line Lender, the Global Swing Line Lender or any Related Party of any of the foregoing, each Lender severally agrees to pay to the Administrative Agent (or any such sub-agent), the L/C Issuer, such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of such unpaid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L/C Issuer or such Swing Line Lender in its capacity as such, or against any Related Party of any of the foregoing acting for the Administrative Agent (or any such sub-agent), L/C Issuer or such Swing Line Lender in connection with such capacity. The obligations of the Lenders under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are subject to the provisions of </w:t>
      </w:r>
      <w:r>
        <w:rPr>
          <w:rFonts w:ascii="Times New Roman" w:cs="Times New Roman" w:eastAsia="Times New Roman" w:hAnsi="Times New Roman"/>
          <w:sz w:val="20"/>
          <w:szCs w:val="20"/>
          <w:u w:val="single" w:color="auto"/>
          <w:color w:val="auto"/>
        </w:rPr>
        <w:t>Section 2.12(d)</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no Borrower shall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willful misconduct or bad faith of such Indemnitee or any of its Related Parties as determined by a final and nonappealable judgment of a court of competent jurisdiction.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6" w:name="page307"/>
    <w:bookmarkEnd w:id="306"/>
    <w:p>
      <w:pPr>
        <w:ind w:left="1020" w:hanging="263"/>
        <w:spacing w:after="0"/>
        <w:tabs>
          <w:tab w:leader="none" w:pos="1020"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Business Days after demand therefor.</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The agreements in this Section and the indemnity provisions of </w:t>
      </w:r>
      <w:r>
        <w:rPr>
          <w:rFonts w:ascii="Times New Roman" w:cs="Times New Roman" w:eastAsia="Times New Roman" w:hAnsi="Times New Roman"/>
          <w:sz w:val="20"/>
          <w:szCs w:val="20"/>
          <w:u w:val="single" w:color="auto"/>
          <w:color w:val="auto"/>
        </w:rPr>
        <w:t>Section 10.02(e)</w:t>
      </w:r>
      <w:r>
        <w:rPr>
          <w:rFonts w:ascii="Times New Roman" w:cs="Times New Roman" w:eastAsia="Times New Roman" w:hAnsi="Times New Roman"/>
          <w:sz w:val="20"/>
          <w:szCs w:val="20"/>
          <w:color w:val="auto"/>
        </w:rPr>
        <w:t xml:space="preserve"> shall survive the resignation of the Administrative Agent, the L/C Issuer, the U.S. Swing Line Lender and the Global Swing Line Lender, the replacement of any Lender, the termination of the Aggregate Commitments and the repayment, satisfaction or discharge of all the other Obligations.</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b w:val="1"/>
          <w:bCs w:val="1"/>
          <w:color w:val="auto"/>
        </w:rPr>
        <w:t xml:space="preserve">10.05 Payments Set Aside. </w:t>
      </w:r>
      <w:r>
        <w:rPr>
          <w:rFonts w:ascii="Times New Roman" w:cs="Times New Roman" w:eastAsia="Times New Roman" w:hAnsi="Times New Roman"/>
          <w:sz w:val="20"/>
          <w:szCs w:val="20"/>
          <w:color w:val="auto"/>
        </w:rPr>
        <w:t>To the extent that any payment by or on behalf of any Borrower is made to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L/C Issuer or any Lender, or the Administrative Agent, the L/C Issuer or any Lender exercises its right of setoff, and such payment or the proceeds of such setoff or any part thereof is subsequently invalidated, declared to be fraudulent or preferential or transfer at undervalue, set aside or required (including pursuant to any settlement entered into by the Administrative Agent, the L/C Issuer or such Lender in its discretion) to be repaid to a trustee, receiver, interim receiver, monitor, liquidator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in the applicable currency of such recovery or payment. The obligations of the Lenders and the L/C Issuer under clause (b) of the preceding sentence shall survive the payment in full of the Obligations and the termination of this Agreement.</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10.06 Successors and Assigns.</w:t>
      </w:r>
    </w:p>
    <w:p>
      <w:pPr>
        <w:spacing w:after="0" w:line="220" w:lineRule="exact"/>
        <w:rPr>
          <w:sz w:val="20"/>
          <w:szCs w:val="20"/>
          <w:color w:val="auto"/>
        </w:rPr>
      </w:pPr>
    </w:p>
    <w:p>
      <w:pPr>
        <w:jc w:val="both"/>
        <w:ind w:firstLine="757"/>
        <w:spacing w:after="0" w:line="242" w:lineRule="auto"/>
        <w:tabs>
          <w:tab w:leader="none" w:pos="101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(ii) by way of participation in accordance with the provisions of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Section, or (iii) by way of pledge or assignment of a security interest subject to the restrictions of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Section and, to the extent expressly contemplated hereby, the Related Parties of each of the Administrative Agent, the L/C Issuer and the Lenders) any legal or equitable right, remedy or claim under or by reason of this Agreement.</w:t>
      </w:r>
    </w:p>
    <w:p>
      <w:pPr>
        <w:spacing w:after="0" w:line="192"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participations in L/C Obligations and in Swing Line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7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firstLine="749"/>
        <w:spacing w:after="0" w:line="269" w:lineRule="auto"/>
        <w:rPr>
          <w:sz w:val="20"/>
          <w:szCs w:val="20"/>
          <w:color w:val="auto"/>
        </w:rPr>
      </w:pPr>
      <w:r>
        <w:rPr>
          <w:rFonts w:ascii="Times New Roman" w:cs="Times New Roman" w:eastAsia="Times New Roman" w:hAnsi="Times New Roman"/>
          <w:sz w:val="20"/>
          <w:szCs w:val="20"/>
          <w:color w:val="auto"/>
        </w:rPr>
        <w:t>(A)in the case of (x) an assignment of the entire remaining amount of the assigning Lender’s Commitment under any Facility and the Loans at the time owing to it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7" w:name="page308"/>
    <w:bookmarkEnd w:id="307"/>
    <w:p>
      <w:pPr>
        <w:jc w:val="both"/>
        <w:ind w:left="743"/>
        <w:spacing w:after="0" w:line="254" w:lineRule="auto"/>
        <w:rPr>
          <w:sz w:val="20"/>
          <w:szCs w:val="20"/>
          <w:color w:val="auto"/>
        </w:rPr>
      </w:pPr>
      <w:r>
        <w:rPr>
          <w:rFonts w:ascii="Times New Roman" w:cs="Times New Roman" w:eastAsia="Times New Roman" w:hAnsi="Times New Roman"/>
          <w:sz w:val="20"/>
          <w:szCs w:val="20"/>
          <w:color w:val="auto"/>
        </w:rPr>
        <w:t xml:space="preserve">(in each case with respect to any Facility) (y) an assignment to a Lender, an Affiliate or branch of a Lender or an Approved Fund or (z) an assignment to an acquisition vehicle pursuant to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no minimum amount need be assigned; and</w:t>
      </w:r>
    </w:p>
    <w:p>
      <w:pPr>
        <w:spacing w:after="0" w:line="174" w:lineRule="exact"/>
        <w:rPr>
          <w:sz w:val="20"/>
          <w:szCs w:val="20"/>
          <w:color w:val="auto"/>
        </w:rPr>
      </w:pPr>
    </w:p>
    <w:p>
      <w:pPr>
        <w:jc w:val="both"/>
        <w:ind w:left="743" w:firstLine="754"/>
        <w:spacing w:after="0" w:line="242" w:lineRule="auto"/>
        <w:tabs>
          <w:tab w:leader="none" w:pos="1791" w:val="left"/>
        </w:tabs>
        <w:numPr>
          <w:ilvl w:val="2"/>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(b)(i)(A)</w:t>
      </w:r>
      <w:r>
        <w:rPr>
          <w:rFonts w:ascii="Times New Roman" w:cs="Times New Roman" w:eastAsia="Times New Roman" w:hAnsi="Times New Roman"/>
          <w:sz w:val="20"/>
          <w:szCs w:val="20"/>
          <w:color w:val="auto"/>
        </w:rPr>
        <w:t xml:space="preserve"> 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192" w:lineRule="exact"/>
        <w:rPr>
          <w:rFonts w:ascii="Times New Roman" w:cs="Times New Roman" w:eastAsia="Times New Roman" w:hAnsi="Times New Roman"/>
          <w:sz w:val="20"/>
          <w:szCs w:val="20"/>
          <w:color w:val="auto"/>
        </w:rPr>
      </w:pPr>
    </w:p>
    <w:p>
      <w:pPr>
        <w:jc w:val="both"/>
        <w:ind w:left="3" w:firstLine="745"/>
        <w:spacing w:after="0" w:line="254" w:lineRule="auto"/>
        <w:tabs>
          <w:tab w:leader="none" w:pos="1291"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apply to any Swing Line Lender’s rights and obligations in respect of Swing Line Loans;</w:t>
      </w:r>
    </w:p>
    <w:p>
      <w:pPr>
        <w:spacing w:after="0" w:line="174" w:lineRule="exact"/>
        <w:rPr>
          <w:rFonts w:ascii="Times New Roman" w:cs="Times New Roman" w:eastAsia="Times New Roman" w:hAnsi="Times New Roman"/>
          <w:sz w:val="20"/>
          <w:szCs w:val="20"/>
          <w:color w:val="auto"/>
        </w:rPr>
      </w:pPr>
    </w:p>
    <w:p>
      <w:pPr>
        <w:ind w:left="1283" w:hanging="535"/>
        <w:spacing w:after="0"/>
        <w:tabs>
          <w:tab w:leader="none" w:pos="1283" w:val="left"/>
        </w:tabs>
        <w:numPr>
          <w:ilvl w:val="1"/>
          <w:numId w:val="2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Required Consents</w:t>
      </w:r>
      <w:r>
        <w:rPr>
          <w:rFonts w:ascii="Times New Roman" w:cs="Times New Roman" w:eastAsia="Times New Roman" w:hAnsi="Times New Roman"/>
          <w:sz w:val="20"/>
          <w:szCs w:val="20"/>
          <w:color w:val="auto"/>
        </w:rPr>
        <w:t xml:space="preserve">. No consent shall be required for any assignment except to the extent required by </w:t>
      </w:r>
      <w:r>
        <w:rPr>
          <w:rFonts w:ascii="Times New Roman" w:cs="Times New Roman" w:eastAsia="Times New Roman" w:hAnsi="Times New Roman"/>
          <w:sz w:val="20"/>
          <w:szCs w:val="20"/>
          <w:u w:val="single" w:color="auto"/>
          <w:color w:val="auto"/>
        </w:rPr>
        <w:t>clause (b)(i)</w:t>
      </w:r>
    </w:p>
    <w:p>
      <w:pPr>
        <w:spacing w:after="0" w:line="21" w:lineRule="exact"/>
        <w:rPr>
          <w:rFonts w:ascii="Times New Roman" w:cs="Times New Roman" w:eastAsia="Times New Roman" w:hAnsi="Times New Roman"/>
          <w:sz w:val="20"/>
          <w:szCs w:val="20"/>
          <w:color w:val="auto"/>
        </w:rPr>
      </w:pPr>
    </w:p>
    <w:p>
      <w:pPr>
        <w:ind w:left="323" w:hanging="323"/>
        <w:spacing w:after="0"/>
        <w:tabs>
          <w:tab w:leader="none" w:pos="323" w:val="left"/>
        </w:tabs>
        <w:numPr>
          <w:ilvl w:val="0"/>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of this Section and, in addition:</w:t>
      </w:r>
    </w:p>
    <w:p>
      <w:pPr>
        <w:spacing w:after="0" w:line="194" w:lineRule="exact"/>
        <w:rPr>
          <w:sz w:val="20"/>
          <w:szCs w:val="20"/>
          <w:color w:val="auto"/>
        </w:rPr>
      </w:pPr>
    </w:p>
    <w:p>
      <w:pPr>
        <w:jc w:val="both"/>
        <w:ind w:left="743" w:firstLine="749"/>
        <w:spacing w:after="0" w:line="246" w:lineRule="auto"/>
        <w:rPr>
          <w:sz w:val="20"/>
          <w:szCs w:val="20"/>
          <w:color w:val="auto"/>
        </w:rPr>
      </w:pPr>
      <w:r>
        <w:rPr>
          <w:rFonts w:ascii="Times New Roman" w:cs="Times New Roman" w:eastAsia="Times New Roman" w:hAnsi="Times New Roman"/>
          <w:sz w:val="20"/>
          <w:szCs w:val="20"/>
          <w:color w:val="auto"/>
        </w:rPr>
        <w:t xml:space="preserve">(A)the consent of the Company (such consent not to be unreasonably withheld or delayed) shall be required unless (1) </w:t>
      </w:r>
      <w:r>
        <w:rPr>
          <w:rFonts w:ascii="Times New Roman" w:cs="Times New Roman" w:eastAsia="Times New Roman" w:hAnsi="Times New Roman"/>
          <w:sz w:val="20"/>
          <w:szCs w:val="20"/>
          <w:color w:val="FF0000"/>
          <w:strike w:val="1"/>
        </w:rPr>
        <w:t>a Specified</w:t>
      </w:r>
      <w:r>
        <w:rPr>
          <w:rFonts w:ascii="Times New Roman" w:cs="Times New Roman" w:eastAsia="Times New Roman" w:hAnsi="Times New Roman"/>
          <w:sz w:val="20"/>
          <w:szCs w:val="20"/>
          <w:u w:val="single" w:color="auto"/>
          <w:color w:val="0000FF"/>
        </w:rPr>
        <w:t>an</w:t>
      </w:r>
      <w:r>
        <w:rPr>
          <w:rFonts w:ascii="Times New Roman" w:cs="Times New Roman" w:eastAsia="Times New Roman" w:hAnsi="Times New Roman"/>
          <w:sz w:val="20"/>
          <w:szCs w:val="20"/>
          <w:color w:val="auto"/>
        </w:rPr>
        <w:t xml:space="preserve">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be deemed to have consented to any such assignment unless it shall object thereto by written notice to the Administrative Agent within ten (10) Business Days after having received notice thereof;</w:t>
      </w:r>
    </w:p>
    <w:p>
      <w:pPr>
        <w:spacing w:after="0" w:line="185" w:lineRule="exact"/>
        <w:rPr>
          <w:sz w:val="20"/>
          <w:szCs w:val="20"/>
          <w:color w:val="auto"/>
        </w:rPr>
      </w:pPr>
    </w:p>
    <w:p>
      <w:pPr>
        <w:jc w:val="both"/>
        <w:ind w:left="743" w:firstLine="754"/>
        <w:spacing w:after="0" w:line="246" w:lineRule="auto"/>
        <w:tabs>
          <w:tab w:leader="none" w:pos="1791"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(1) any Revolving Commitment if such assignment is to a Person that is not a Lender with a Commitment in respect of the applicable Facility, an Affiliate of such Lender or an Approved Fund with respect to such Lender or (2) any Term Loan to a Person that is not a Lender, an Affiliate of a Lender or an Approved Fund;</w:t>
      </w:r>
    </w:p>
    <w:p>
      <w:pPr>
        <w:spacing w:after="0" w:line="184" w:lineRule="exact"/>
        <w:rPr>
          <w:rFonts w:ascii="Times New Roman" w:cs="Times New Roman" w:eastAsia="Times New Roman" w:hAnsi="Times New Roman"/>
          <w:sz w:val="20"/>
          <w:szCs w:val="20"/>
          <w:color w:val="auto"/>
        </w:rPr>
      </w:pPr>
    </w:p>
    <w:p>
      <w:pPr>
        <w:jc w:val="both"/>
        <w:ind w:left="743" w:firstLine="754"/>
        <w:spacing w:after="0" w:line="254" w:lineRule="auto"/>
        <w:tabs>
          <w:tab w:leader="none" w:pos="1791"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L/C Issuer (such consent not to be unreasonably withheld or delayed) shall be required for any assignment that increases the obligation of the assignee to participate in exposure under one or more Letters of Credit (whether or not then outstanding); and</w:t>
      </w:r>
    </w:p>
    <w:p>
      <w:pPr>
        <w:spacing w:after="0" w:line="174" w:lineRule="exact"/>
        <w:rPr>
          <w:sz w:val="20"/>
          <w:szCs w:val="20"/>
          <w:color w:val="auto"/>
        </w:rPr>
      </w:pPr>
    </w:p>
    <w:p>
      <w:pPr>
        <w:jc w:val="both"/>
        <w:ind w:left="743" w:firstLine="749"/>
        <w:spacing w:after="0" w:line="249" w:lineRule="auto"/>
        <w:rPr>
          <w:sz w:val="20"/>
          <w:szCs w:val="20"/>
          <w:color w:val="auto"/>
        </w:rPr>
      </w:pPr>
      <w:r>
        <w:rPr>
          <w:rFonts w:ascii="Times New Roman" w:cs="Times New Roman" w:eastAsia="Times New Roman" w:hAnsi="Times New Roman"/>
          <w:sz w:val="20"/>
          <w:szCs w:val="20"/>
          <w:color w:val="auto"/>
        </w:rPr>
        <w:t>(D)the consent of (1) the U.S. Swing Line Lender (such consent not to be unreasonably withheld or delayed) shall be required for any assignment in respect of the U.S. Revolving Credit Facility and (2) the Global Swing Line Lender (such consent not to be unreasonably withheld or delayed) shall be required for any assignment in respect of the Global Revolving Credit Facility.</w:t>
      </w:r>
    </w:p>
    <w:p>
      <w:pPr>
        <w:spacing w:after="0" w:line="200" w:lineRule="exact"/>
        <w:rPr>
          <w:sz w:val="20"/>
          <w:szCs w:val="20"/>
          <w:color w:val="auto"/>
        </w:rPr>
      </w:pPr>
    </w:p>
    <w:p>
      <w:pPr>
        <w:spacing w:after="0" w:line="232" w:lineRule="exact"/>
        <w:rPr>
          <w:sz w:val="20"/>
          <w:szCs w:val="20"/>
          <w:color w:val="auto"/>
        </w:rPr>
      </w:pPr>
    </w:p>
    <w:p>
      <w:pPr>
        <w:ind w:left="4743"/>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616585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308" w:name="page309"/>
    <w:bookmarkEnd w:id="308"/>
    <w:p>
      <w:pPr>
        <w:jc w:val="both"/>
        <w:ind w:left="760" w:firstLine="745"/>
        <w:spacing w:after="0" w:line="246" w:lineRule="auto"/>
        <w:tabs>
          <w:tab w:leader="none" w:pos="204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except in the case of an assignment pursuant to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 xml:space="preserve">, a processing and recordation fee in the amount of $3,500 (which fee shall in no event be payable by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4"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(A) to the Company or any of the Company’s Affiliates or Subsidiaries, or (B) to any Defaulting Lender or any of its Subsidiaries, or any Person who, upon becoming a Lender hereunder, would constitute any of the foregoing Persons described in this clause (B), or (C) to a natural Person (or a holding company, investment vehicle or trust for, or owned and operated for the primary benefit of a natural Person).</w:t>
      </w:r>
    </w:p>
    <w:p>
      <w:pPr>
        <w:spacing w:after="0" w:line="179"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2048"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Times New Roman" w:cs="Times New Roman" w:eastAsia="Times New Roman" w:hAnsi="Times New Roman"/>
          <w:sz w:val="20"/>
          <w:szCs w:val="20"/>
          <w:u w:val="single" w:color="auto"/>
          <w:color w:val="auto"/>
        </w:rPr>
        <w:t>clause (vi)</w:t>
      </w:r>
      <w:r>
        <w:rPr>
          <w:rFonts w:ascii="Times New Roman" w:cs="Times New Roman" w:eastAsia="Times New Roman" w:hAnsi="Times New Roman"/>
          <w:sz w:val="20"/>
          <w:szCs w:val="20"/>
          <w:color w:val="auto"/>
        </w:rPr>
        <w:t>, then the assignee of such interest shall be deemed to be a Defaulting Lender for all purposes of this Agreement until such compliance occurs.</w:t>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10.04</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clause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clause (d)</w:t>
      </w:r>
      <w:r>
        <w:rPr>
          <w:rFonts w:ascii="Times New Roman" w:cs="Times New Roman" w:eastAsia="Times New Roman" w:hAnsi="Times New Roman"/>
          <w:sz w:val="20"/>
          <w:szCs w:val="20"/>
          <w:color w:val="auto"/>
        </w:rPr>
        <w:t xml:space="preserve"> of this Section.</w:t>
      </w:r>
    </w:p>
    <w:p>
      <w:pPr>
        <w:spacing w:after="0" w:line="187" w:lineRule="exact"/>
        <w:rPr>
          <w:sz w:val="20"/>
          <w:szCs w:val="20"/>
          <w:color w:val="auto"/>
        </w:rPr>
      </w:pPr>
    </w:p>
    <w:p>
      <w:pPr>
        <w:ind w:firstLine="757"/>
        <w:spacing w:after="0" w:line="269" w:lineRule="auto"/>
        <w:tabs>
          <w:tab w:leader="none" w:pos="1018"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an agent of the Borrowers (and such agency being solely for tax purposes), shall maintain at the Administrative Agent’s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9" w:name="page310"/>
    <w:bookmarkEnd w:id="309"/>
    <w:p>
      <w:pPr>
        <w:jc w:val="both"/>
        <w:spacing w:after="0" w:line="245" w:lineRule="auto"/>
        <w:rPr>
          <w:sz w:val="20"/>
          <w:szCs w:val="20"/>
          <w:color w:val="auto"/>
        </w:rPr>
      </w:pPr>
      <w:r>
        <w:rPr>
          <w:rFonts w:ascii="Times New Roman" w:cs="Times New Roman" w:eastAsia="Times New Roman" w:hAnsi="Times New Roman"/>
          <w:sz w:val="20"/>
          <w:szCs w:val="20"/>
          <w:color w:val="auto"/>
        </w:rPr>
        <w:t>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the Borrowers and any Lender, at any reasonable time and from time to time upon reasonable prior notice.</w:t>
      </w:r>
    </w:p>
    <w:p>
      <w:pPr>
        <w:spacing w:after="0" w:line="184" w:lineRule="exact"/>
        <w:rPr>
          <w:sz w:val="20"/>
          <w:szCs w:val="20"/>
          <w:color w:val="auto"/>
        </w:rPr>
      </w:pPr>
    </w:p>
    <w:p>
      <w:pPr>
        <w:jc w:val="both"/>
        <w:ind w:firstLine="757"/>
        <w:spacing w:after="0" w:line="241" w:lineRule="auto"/>
        <w:tabs>
          <w:tab w:leader="none" w:pos="1018"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10.04(c)</w:t>
      </w:r>
      <w:r>
        <w:rPr>
          <w:rFonts w:ascii="Times New Roman" w:cs="Times New Roman" w:eastAsia="Times New Roman" w:hAnsi="Times New Roman"/>
          <w:sz w:val="20"/>
          <w:szCs w:val="20"/>
          <w:color w:val="auto"/>
        </w:rPr>
        <w:t xml:space="preserve"> without regard to the existence of any participation. Each Lender that sells a participating interest in any Loan, Commitment, participations in L/C Obligations and/or Swing Line Loans, or other interest to a Participant shall, as agent of the Company solely for the purpose of this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record in book entries maintained by such Lender the name and the amount of the participating interest of each Participant entitled to receive payments in respect of such participating interests.</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waiver or other modification described in clause (y) of the first proviso to </w:t>
      </w:r>
      <w:r>
        <w:rPr>
          <w:rFonts w:ascii="Times New Roman" w:cs="Times New Roman" w:eastAsia="Times New Roman" w:hAnsi="Times New Roman"/>
          <w:sz w:val="20"/>
          <w:szCs w:val="20"/>
          <w:u w:val="single" w:color="auto"/>
          <w:color w:val="auto"/>
        </w:rPr>
        <w:t>Section 10.01</w:t>
      </w:r>
      <w:r>
        <w:rPr>
          <w:rFonts w:ascii="Times New Roman" w:cs="Times New Roman" w:eastAsia="Times New Roman" w:hAnsi="Times New Roman"/>
          <w:sz w:val="20"/>
          <w:szCs w:val="20"/>
          <w:color w:val="auto"/>
        </w:rPr>
        <w:t xml:space="preserve"> that affects such Participant. Subject to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of this Section, each Borrower agrees that each Participant shall be entitled to the benefits of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3.05</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(it being understood that the documentation required under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shall be delivered to the Lender who sells the participation)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Sections 3.06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10.13</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and (B) shall not be entitled to receive any greater payment under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10.08</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Participant agrees to be subject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u w:val="single" w:color="auto"/>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0" w:name="page311"/>
    <w:bookmarkEnd w:id="310"/>
    <w:p>
      <w:pPr>
        <w:jc w:val="both"/>
        <w:spacing w:after="0" w:line="244" w:lineRule="auto"/>
        <w:rPr>
          <w:sz w:val="20"/>
          <w:szCs w:val="20"/>
          <w:color w:val="auto"/>
        </w:rPr>
      </w:pPr>
      <w:r>
        <w:rPr>
          <w:rFonts w:ascii="Times New Roman" w:cs="Times New Roman" w:eastAsia="Times New Roman" w:hAnsi="Times New Roman"/>
          <w:sz w:val="20"/>
          <w:szCs w:val="20"/>
          <w:color w:val="auto"/>
        </w:rPr>
        <w:t>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6" w:lineRule="exact"/>
        <w:rPr>
          <w:sz w:val="20"/>
          <w:szCs w:val="20"/>
          <w:color w:val="auto"/>
        </w:rPr>
      </w:pPr>
    </w:p>
    <w:p>
      <w:pPr>
        <w:jc w:val="both"/>
        <w:ind w:firstLine="757"/>
        <w:spacing w:after="0" w:line="246" w:lineRule="auto"/>
        <w:tabs>
          <w:tab w:leader="none" w:pos="101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 upon Participant Rights</w:t>
      </w:r>
      <w:r>
        <w:rPr>
          <w:rFonts w:ascii="Times New Roman" w:cs="Times New Roman" w:eastAsia="Times New Roman" w:hAnsi="Times New Roman"/>
          <w:sz w:val="20"/>
          <w:szCs w:val="20"/>
          <w:color w:val="auto"/>
        </w:rPr>
        <w:t xml:space="preserve">. A Participant shall not be entitled to receive any greater payment under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xml:space="preserve"> unless the Company is notified of the participation sold to such Participant and such Participant agrees, for the benefit of the Company, to comply with </w:t>
      </w:r>
      <w:r>
        <w:rPr>
          <w:rFonts w:ascii="Times New Roman" w:cs="Times New Roman" w:eastAsia="Times New Roman" w:hAnsi="Times New Roman"/>
          <w:sz w:val="20"/>
          <w:szCs w:val="20"/>
          <w:u w:val="single" w:color="auto"/>
          <w:color w:val="auto"/>
        </w:rPr>
        <w:t>Section 3.01(e)</w:t>
      </w:r>
      <w:r>
        <w:rPr>
          <w:rFonts w:ascii="Times New Roman" w:cs="Times New Roman" w:eastAsia="Times New Roman" w:hAnsi="Times New Roman"/>
          <w:sz w:val="20"/>
          <w:szCs w:val="20"/>
          <w:color w:val="auto"/>
        </w:rPr>
        <w:t xml:space="preserve"> as though it were a Lender.</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as L/C Issuer or Swing Line Lender after Assignment</w:t>
      </w:r>
      <w:r>
        <w:rPr>
          <w:rFonts w:ascii="Times New Roman" w:cs="Times New Roman" w:eastAsia="Times New Roman" w:hAnsi="Times New Roman"/>
          <w:sz w:val="20"/>
          <w:szCs w:val="20"/>
          <w:color w:val="auto"/>
        </w:rPr>
        <w:t xml:space="preserve">. Notwithstanding anything to the contrary contained herein, if at any time Bank of America assigns all of its Commitments and Loans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above, (i) Bank of America may, upon 30 days’ notice to the Company and the Lenders, resign as L/C Issuer and/or (ii) upon 30 days’ notice to the Company, each of Bank of America, as the U.S. Swing Line Lender, and Bank of America, as the Global Swing Line Lender, may resign as Swing Line Lender. In the event of any such resignation as L/C Issuer or Swing Line Lender, the Company shall be entitled to appoint from among the Lenders a successor L/C Issuer or Swing Line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failure by the Company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Times New Roman" w:cs="Times New Roman" w:eastAsia="Times New Roman" w:hAnsi="Times New Roman"/>
          <w:sz w:val="20"/>
          <w:szCs w:val="20"/>
          <w:u w:val="single" w:color="auto"/>
          <w:color w:val="auto"/>
        </w:rPr>
        <w:t>Section 2.03(c)</w:t>
      </w:r>
      <w:r>
        <w:rPr>
          <w:rFonts w:ascii="Times New Roman" w:cs="Times New Roman" w:eastAsia="Times New Roman" w:hAnsi="Times New Roman"/>
          <w:sz w:val="20"/>
          <w:szCs w:val="20"/>
          <w:color w:val="auto"/>
        </w:rPr>
        <w:t xml:space="preserve">). If Bank of America resigns as Swing Line Lender, it shall retain all the rights of a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Times New Roman" w:cs="Times New Roman" w:eastAsia="Times New Roman" w:hAnsi="Times New Roman"/>
          <w:sz w:val="20"/>
          <w:szCs w:val="20"/>
          <w:u w:val="single" w:color="auto"/>
          <w:color w:val="auto"/>
        </w:rPr>
        <w:t>Section 2.04(c)</w:t>
      </w:r>
      <w:r>
        <w:rPr>
          <w:rFonts w:ascii="Times New Roman" w:cs="Times New Roman" w:eastAsia="Times New Roman" w:hAnsi="Times New Roman"/>
          <w:sz w:val="20"/>
          <w:szCs w:val="20"/>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91"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Novation</w:t>
      </w:r>
      <w:r>
        <w:rPr>
          <w:rFonts w:ascii="Times New Roman" w:cs="Times New Roman" w:eastAsia="Times New Roman" w:hAnsi="Times New Roman"/>
          <w:sz w:val="20"/>
          <w:szCs w:val="20"/>
          <w:color w:val="auto"/>
        </w:rPr>
        <w:t>. For the purposes of Article 1271 et seq. of the Belgian Civil Code, the parties to this Agreement agree that upon any novation under the Loan Documents, the Liens, guarantees, indemnities, and other undertakings created under and pursuant to the Loan Documents shall continue for the benefit of the Lenders, their successors, transferees and assignees, as the case may be.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1" w:name="page312"/>
    <w:bookmarkEnd w:id="311"/>
    <w:p>
      <w:pPr>
        <w:jc w:val="both"/>
        <w:ind w:firstLine="749"/>
        <w:spacing w:after="0" w:line="254" w:lineRule="auto"/>
        <w:rPr>
          <w:sz w:val="20"/>
          <w:szCs w:val="20"/>
          <w:color w:val="auto"/>
        </w:rPr>
      </w:pPr>
      <w:r>
        <w:rPr>
          <w:rFonts w:ascii="Times New Roman" w:cs="Times New Roman" w:eastAsia="Times New Roman" w:hAnsi="Times New Roman"/>
          <w:sz w:val="19"/>
          <w:szCs w:val="19"/>
          <w:b w:val="1"/>
          <w:bCs w:val="1"/>
          <w:color w:val="auto"/>
        </w:rPr>
        <w:t>10.07 Treatment of Certain Information; Confidentiality</w:t>
      </w:r>
      <w:r>
        <w:rPr>
          <w:rFonts w:ascii="Times New Roman" w:cs="Times New Roman" w:eastAsia="Times New Roman" w:hAnsi="Times New Roman"/>
          <w:sz w:val="19"/>
          <w:szCs w:val="19"/>
          <w:color w:val="auto"/>
        </w:rPr>
        <w:t>. Each of the Administrative Agent, the Lenders and the L/C Issuer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agrees to maintain the confidentiality of the Information (as defined below), except that Information may be disclosed (a) to its Affiliates and to its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at least as restrictive as those of this Section, to (i) any assignee of or Participant in, or any prospective assignee of or Participant in, any of its rights or obligations under this Agreement or any Eligible Assignee invited to be a Lender pursuant to </w:t>
      </w:r>
      <w:r>
        <w:rPr>
          <w:rFonts w:ascii="Times New Roman" w:cs="Times New Roman" w:eastAsia="Times New Roman" w:hAnsi="Times New Roman"/>
          <w:sz w:val="19"/>
          <w:szCs w:val="19"/>
          <w:u w:val="single" w:color="auto"/>
          <w:color w:val="auto"/>
        </w:rPr>
        <w:t>Section 2.15(c)</w:t>
      </w:r>
      <w:r>
        <w:rPr>
          <w:rFonts w:ascii="Times New Roman" w:cs="Times New Roman" w:eastAsia="Times New Roman" w:hAnsi="Times New Roman"/>
          <w:sz w:val="19"/>
          <w:szCs w:val="19"/>
          <w:color w:val="auto"/>
        </w:rPr>
        <w:t xml:space="preserve"> or (ii) any actual or prospective counterparty (or its Related Parties) to any swap, derivative or other transaction under which payments are to be made by reference to the Company and its obligations, this Agreement or payments hereunder, (g)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w:t>
      </w:r>
    </w:p>
    <w:p>
      <w:pPr>
        <w:jc w:val="both"/>
        <w:ind w:firstLine="8"/>
        <w:spacing w:after="0" w:line="256" w:lineRule="auto"/>
        <w:tabs>
          <w:tab w:leader="none" w:pos="305" w:val="left"/>
        </w:tabs>
        <w:numPr>
          <w:ilvl w:val="0"/>
          <w:numId w:val="2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becomes publicly available other than as a result of a breach of this Section (y) becomes available to the Administrative Agent, any Lender, the L/C Issuer or any of their respective Affiliates on a nonconfidential basis from a source other than the Company or (z) is independently discovered or developed by a party hereto without utilizing any Information received from the Company or violating the terms of this </w:t>
      </w:r>
      <w:r>
        <w:rPr>
          <w:rFonts w:ascii="Times New Roman" w:cs="Times New Roman" w:eastAsia="Times New Roman" w:hAnsi="Times New Roman"/>
          <w:sz w:val="19"/>
          <w:szCs w:val="19"/>
          <w:u w:val="single" w:color="auto"/>
          <w:color w:val="auto"/>
        </w:rPr>
        <w:t>Section 10.07</w:t>
      </w:r>
      <w:r>
        <w:rPr>
          <w:rFonts w:ascii="Times New Roman" w:cs="Times New Roman" w:eastAsia="Times New Roman" w:hAnsi="Times New Roman"/>
          <w:sz w:val="19"/>
          <w:szCs w:val="19"/>
          <w:color w:val="auto"/>
        </w:rPr>
        <w:t>.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xml:space="preserve">” means all information received from or on behalf of the Company or any Subsidiary relating to the Company or any Subsidiary or any of their respective businesses, other than any such information that is available to the Administrative Agent, any Lender or the L/C Issuer on a nonconfidential basis prior to disclosure by or on behalf of the Company or any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or on behalf of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L/C Issuer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For the avoidance of doubt, nothing herein prohibits any Person from communicating or disclosing information regarding suspected violations of laws, rules, or regulations to a governmental, regulatory, or self-regulatory authority (including any Governmental Authority) without any notification to any Person.</w:t>
      </w:r>
    </w:p>
    <w:p>
      <w:pPr>
        <w:spacing w:after="0" w:line="170"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10.08 Right of Setoff. </w:t>
      </w:r>
      <w:r>
        <w:rPr>
          <w:rFonts w:ascii="Times New Roman" w:cs="Times New Roman" w:eastAsia="Times New Roman" w:hAnsi="Times New Roman"/>
          <w:sz w:val="20"/>
          <w:szCs w:val="20"/>
          <w:color w:val="auto"/>
        </w:rPr>
        <w:t>If an Event of Default shall have occurred and be continuing, each Lender, the L/C Issuer and each of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respective Affiliates and branches is hereby authorized at any time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12" w:name="page313"/>
    <w:bookmarkEnd w:id="31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or branch to or for the credit or the account of any Borrower against any and all of the obligations of such Borrower then due and owing under this Agreement or any other Loan Document to such Lender or the L/C Issuer or branch their respective Affiliates or branches, irrespective of whether or not such Lender, L/C Issuer or Affiliate shall have made any demand under this Agreement or any other Loan Document and although such obligations of such Borrower may be contingent or unmatured or are owed to a branch, office or Affiliate of such Lender or the L/C Issuer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2.17</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Company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10.09 Interest Rate Limitation. </w:t>
      </w:r>
      <w:r>
        <w:rPr>
          <w:rFonts w:ascii="Times New Roman" w:cs="Times New Roman" w:eastAsia="Times New Roman" w:hAnsi="Times New Roman"/>
          <w:sz w:val="20"/>
          <w:szCs w:val="20"/>
          <w:color w:val="auto"/>
        </w:rPr>
        <w:t>Notwithstanding anything to the contrary contained in any Loan Document, the interest paid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agreed to be paid under the Loan Documents shall not exceed the maximum rate of non-usurious interest permitted by applicable Law (the “</w:t>
      </w:r>
      <w:r>
        <w:rPr>
          <w:rFonts w:ascii="Times New Roman" w:cs="Times New Roman" w:eastAsia="Times New Roman" w:hAnsi="Times New Roman"/>
          <w:sz w:val="20"/>
          <w:szCs w:val="20"/>
          <w:u w:val="single" w:color="auto"/>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10.10 Integration; Effectiveness</w:t>
      </w:r>
      <w:r>
        <w:rPr>
          <w:rFonts w:ascii="Times New Roman" w:cs="Times New Roman" w:eastAsia="Times New Roman" w:hAnsi="Times New Roman"/>
          <w:sz w:val="20"/>
          <w:szCs w:val="20"/>
          <w:color w:val="auto"/>
        </w:rPr>
        <w:t>. This Agreement, the other Loan Documents, and any separate letter agreements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10.11 Survival of Representations and Warranties</w:t>
      </w:r>
      <w:r>
        <w:rPr>
          <w:rFonts w:ascii="Times New Roman" w:cs="Times New Roman" w:eastAsia="Times New Roman" w:hAnsi="Times New Roman"/>
          <w:sz w:val="20"/>
          <w:szCs w:val="20"/>
          <w:color w:val="auto"/>
        </w:rPr>
        <w:t>. All representations and warranties made hereunder and in any other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color w:val="auto"/>
        </w:rPr>
        <w:t>Loan or any other Obligation hereunder shall remain unpaid or unsatisfied or any Letter of Credit shall remain outstanding.</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 xml:space="preserve">10.12 Severability. </w:t>
      </w:r>
      <w:r>
        <w:rPr>
          <w:rFonts w:ascii="Times New Roman" w:cs="Times New Roman" w:eastAsia="Times New Roman" w:hAnsi="Times New Roman"/>
          <w:sz w:val="20"/>
          <w:szCs w:val="20"/>
          <w:color w:val="auto"/>
        </w:rPr>
        <w:t>If any provision of this Agreement or the other Loan Documents is held to be illegal, invalid or unenforceable,</w:t>
      </w:r>
    </w:p>
    <w:p>
      <w:pPr>
        <w:spacing w:after="0" w:line="26" w:lineRule="exact"/>
        <w:rPr>
          <w:sz w:val="20"/>
          <w:szCs w:val="20"/>
          <w:color w:val="auto"/>
        </w:rPr>
      </w:pPr>
    </w:p>
    <w:p>
      <w:pPr>
        <w:jc w:val="both"/>
        <w:ind w:firstLine="8"/>
        <w:spacing w:after="0" w:line="255" w:lineRule="auto"/>
        <w:tabs>
          <w:tab w:leader="none" w:pos="271" w:val="left"/>
        </w:tabs>
        <w:numPr>
          <w:ilvl w:val="0"/>
          <w:numId w:val="2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9"/>
          <w:szCs w:val="19"/>
          <w:u w:val="single" w:color="auto"/>
          <w:color w:val="auto"/>
        </w:rPr>
        <w:t>Section 10.12</w:t>
      </w:r>
      <w:r>
        <w:rPr>
          <w:rFonts w:ascii="Times New Roman" w:cs="Times New Roman" w:eastAsia="Times New Roman" w:hAnsi="Times New Roman"/>
          <w:sz w:val="19"/>
          <w:szCs w:val="19"/>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10.13 Replacement of Lenders</w:t>
      </w:r>
      <w:r>
        <w:rPr>
          <w:rFonts w:ascii="Times New Roman" w:cs="Times New Roman" w:eastAsia="Times New Roman" w:hAnsi="Times New Roman"/>
          <w:sz w:val="20"/>
          <w:szCs w:val="20"/>
          <w:color w:val="auto"/>
        </w:rPr>
        <w:t>. If the Company is entitled to replace a Lender pursuant to the provisions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3.06</w:t>
      </w:r>
      <w:r>
        <w:rPr>
          <w:rFonts w:ascii="Times New Roman" w:cs="Times New Roman" w:eastAsia="Times New Roman" w:hAnsi="Times New Roman"/>
          <w:sz w:val="20"/>
          <w:szCs w:val="20"/>
          <w:color w:val="auto"/>
        </w:rPr>
        <w:t>, or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Lender’s obligations to make, continue or convert to Term SOFR Loans has been suspended pursuant to </w:t>
      </w:r>
      <w:r>
        <w:rPr>
          <w:rFonts w:ascii="Times New Roman" w:cs="Times New Roman" w:eastAsia="Times New Roman" w:hAnsi="Times New Roman"/>
          <w:sz w:val="20"/>
          <w:szCs w:val="20"/>
          <w:u w:val="single" w:color="auto"/>
          <w:color w:val="auto"/>
        </w:rPr>
        <w:t>Section 3.02</w:t>
      </w:r>
      <w:r>
        <w:rPr>
          <w:rFonts w:ascii="Times New Roman" w:cs="Times New Roman" w:eastAsia="Times New Roman" w:hAnsi="Times New Roman"/>
          <w:sz w:val="20"/>
          <w:szCs w:val="20"/>
          <w:color w:val="auto"/>
        </w:rPr>
        <w:t xml:space="preserve">, or if any Lender is a Defaulting Lender or a Non-Consenting Lender or if any other circumstance exists hereunder that gives the Company the right to replace a Lender as a party hereto,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10.06</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Sections 3.01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3.04</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6" w:lineRule="exact"/>
        <w:rPr>
          <w:sz w:val="20"/>
          <w:szCs w:val="20"/>
          <w:color w:val="auto"/>
        </w:rPr>
      </w:pPr>
    </w:p>
    <w:p>
      <w:pPr>
        <w:ind w:left="1020" w:hanging="263"/>
        <w:spacing w:after="0"/>
        <w:tabs>
          <w:tab w:leader="none" w:pos="102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shall have paid to the Administrative Agent the assignment fee specified in </w:t>
      </w:r>
      <w:r>
        <w:rPr>
          <w:rFonts w:ascii="Times New Roman" w:cs="Times New Roman" w:eastAsia="Times New Roman" w:hAnsi="Times New Roman"/>
          <w:sz w:val="20"/>
          <w:szCs w:val="20"/>
          <w:u w:val="single" w:color="auto"/>
          <w:color w:val="auto"/>
        </w:rPr>
        <w:t>Section 10.06(b)</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 from the assignee (to the extent of such outstanding principal and accrued interest and fees) or the Company (in the case of all other amounts);</w:t>
      </w:r>
    </w:p>
    <w:p>
      <w:pPr>
        <w:spacing w:after="0" w:line="179"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 3.04</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3.01</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Laws;</w:t>
      </w:r>
    </w:p>
    <w:p>
      <w:pPr>
        <w:spacing w:after="0" w:line="215"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resulting from a Lender becoming a Non-Consenting Lender, the applicable assignee shall have consented to the applicable amendment, waiver or consent.</w:t>
      </w:r>
    </w:p>
    <w:p>
      <w:pPr>
        <w:spacing w:after="0" w:line="159"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10.14 Governing Law; Jurisdiction; Etc.</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4" w:name="page315"/>
    <w:bookmarkEnd w:id="314"/>
    <w:p>
      <w:pPr>
        <w:jc w:val="both"/>
        <w:ind w:firstLine="757"/>
        <w:spacing w:after="0" w:line="263" w:lineRule="auto"/>
        <w:tabs>
          <w:tab w:leader="none" w:pos="1018" w:val="left"/>
        </w:tabs>
        <w:numPr>
          <w:ilvl w:val="0"/>
          <w:numId w:val="2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66" w:lineRule="exact"/>
        <w:rPr>
          <w:rFonts w:ascii="Times New Roman" w:cs="Times New Roman" w:eastAsia="Times New Roman" w:hAnsi="Times New Roman"/>
          <w:sz w:val="19"/>
          <w:szCs w:val="19"/>
          <w:color w:val="auto"/>
        </w:rPr>
      </w:pPr>
    </w:p>
    <w:p>
      <w:pPr>
        <w:jc w:val="both"/>
        <w:ind w:firstLine="757"/>
        <w:spacing w:after="0" w:line="241" w:lineRule="auto"/>
        <w:tabs>
          <w:tab w:leader="none" w:pos="101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PARTY HERETO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LITIGATION OR PROCEEDING RELATING TO THIS AGREEMENT OR ANY OTHER LOAN DOCUMENT AGAINST ANY LOAN PARTY OR ITS PROPERTIES IN THE COURTS OF ANY JURISDICTION.</w:t>
      </w:r>
    </w:p>
    <w:p>
      <w:pPr>
        <w:spacing w:after="0" w:line="191"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8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10.02</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10.15 Waiver of Jury Trial</w:t>
      </w:r>
      <w:r>
        <w:rPr>
          <w:rFonts w:ascii="Times New Roman" w:cs="Times New Roman" w:eastAsia="Times New Roman" w:hAnsi="Times New Roman"/>
          <w:sz w:val="20"/>
          <w:szCs w:val="20"/>
          <w:color w:val="auto"/>
        </w:rPr>
        <w:t>. EACH PARTY HERETO HEREBY IRREVOCABLY WAIVES, TO THE FULLEST EXTENT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5" w:name="page316"/>
    <w:bookmarkEnd w:id="315"/>
    <w:p>
      <w:pPr>
        <w:jc w:val="both"/>
        <w:spacing w:after="0" w:line="246" w:lineRule="auto"/>
        <w:rPr>
          <w:sz w:val="20"/>
          <w:szCs w:val="20"/>
          <w:color w:val="auto"/>
        </w:rPr>
      </w:pPr>
      <w:r>
        <w:rPr>
          <w:rFonts w:ascii="Times New Roman" w:cs="Times New Roman" w:eastAsia="Times New Roman" w:hAnsi="Times New Roman"/>
          <w:sz w:val="20"/>
          <w:szCs w:val="20"/>
          <w:color w:val="auto"/>
        </w:rPr>
        <w:t>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b w:val="1"/>
          <w:bCs w:val="1"/>
          <w:color w:val="auto"/>
        </w:rPr>
        <w:t>10.16 No Advisory or Fiduciary Responsibility</w:t>
      </w:r>
      <w:r>
        <w:rPr>
          <w:rFonts w:ascii="Times New Roman" w:cs="Times New Roman" w:eastAsia="Times New Roman" w:hAnsi="Times New Roman"/>
          <w:sz w:val="19"/>
          <w:szCs w:val="19"/>
          <w:color w:val="auto"/>
        </w:rPr>
        <w:t>. In connection with all aspects of each transaction contemplated hereby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(including in connection 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Arrangers and the Lenders are arm’s-length commercial transactions between each Borrower and its respective Affiliates, on the one hand, and the Administrative Agent, the Arrangers and the Lenders, on the other hand, (B) each Borrower has consulted its own legal, accounting, regulatory and tax advisors to the extent it has deemed appropriate, and (C) each Borrower is capable of evaluating, and understands and accepts, the terms, risks and conditions of the transactions contemplated hereby and by the other Loan Documents; (ii) (A) the Administrative Agent, the Arrangers and each Lender is and has been acting solely as a principal and, except as expressly agreed in writing by the relevant parties, has not been, is not, and will not be acting as an advisor, agent or fiduciary for each Borrower or any of their respective Affiliates, or any other Person and (B) neither the Administrative Agent, the Arrangers nor any Lender has any obligation to any Borrower or any of their respective Affiliates with respect to the transactions contemplated hereby except those obligations expressly set forth herein and in the other Loan Documents; and (iii) the Administrative Agent, the Arrangers and the Lenders and their respective Affiliates may be engaged in a broad range of transactions that involve interests that differ from those of each Borrower and their respective Affiliates, and neither the Administrative Agent, the Arrangers nor any Lenders has any obligation to disclose any of such interests to any Borrower or any of their respective Affiliates. To the fullest extent permitted by law, each Borrower hereby waives and releases any claims that it may have against the Administrative Agent, the Arrangers or any Lender with respect to any breach or alleged breach of agency or fiduciary duty in connection with any aspect of any transaction contemplated hereby.</w:t>
      </w:r>
    </w:p>
    <w:p>
      <w:pPr>
        <w:spacing w:after="0" w:line="17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 xml:space="preserve">10.17 Electronic Execution; Electronic Records; Counterparts. </w:t>
      </w:r>
      <w:r>
        <w:rPr>
          <w:rFonts w:ascii="Times New Roman" w:cs="Times New Roman" w:eastAsia="Times New Roman" w:hAnsi="Times New Roman"/>
          <w:sz w:val="20"/>
          <w:szCs w:val="20"/>
          <w:color w:val="auto"/>
        </w:rPr>
        <w:t>This Agreement, any Loan Document and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Communication, including Communications required to be in writing, may be in the form of an Electronic Record and may be executed using Electronic Signatures. Each of the Loan Parties and each of the Administrative Agent and each Lender Party agrees that any Electronic Signature on or associated with any Communication shall be valid and binding on such Person to the same extent as a manual, original signature, and that any Communication entered into by Electronic Signature, will constitute the legal, valid and binding obligation of such Person enforceable against such Person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 Parties may, at its option, create one or more copies of any Communication in the form of an imaged Electronic Record (“</w:t>
      </w:r>
      <w:r>
        <w:rPr>
          <w:rFonts w:ascii="Times New Roman" w:cs="Times New Roman" w:eastAsia="Times New Roman" w:hAnsi="Times New Roman"/>
          <w:sz w:val="20"/>
          <w:szCs w:val="20"/>
          <w:u w:val="single" w:color="auto"/>
          <w:color w:val="auto"/>
        </w:rPr>
        <w:t>Electronic Copy</w:t>
      </w:r>
      <w:r>
        <w:rPr>
          <w:rFonts w:ascii="Times New Roman" w:cs="Times New Roman" w:eastAsia="Times New Roman" w:hAnsi="Times New Roman"/>
          <w:sz w:val="20"/>
          <w:szCs w:val="20"/>
          <w:color w:val="auto"/>
        </w:rPr>
        <w:t>”),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L/C Issuer nor Swing Line Lender is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6" w:name="page317"/>
    <w:bookmarkEnd w:id="316"/>
    <w:p>
      <w:pPr>
        <w:jc w:val="both"/>
        <w:spacing w:after="0" w:line="245" w:lineRule="auto"/>
        <w:rPr>
          <w:sz w:val="20"/>
          <w:szCs w:val="20"/>
          <w:color w:val="auto"/>
        </w:rPr>
      </w:pPr>
      <w:r>
        <w:rPr>
          <w:rFonts w:ascii="Times New Roman" w:cs="Times New Roman" w:eastAsia="Times New Roman" w:hAnsi="Times New Roman"/>
          <w:sz w:val="20"/>
          <w:szCs w:val="20"/>
          <w:color w:val="auto"/>
        </w:rPr>
        <w:t>under any obligation to accept an Electronic Signature in any form or in any format unless expressly agreed to by such Person pursuant to procedures approved by it; provided, further, without limiting the foregoing, (a) to the extent the Administrative Agent, L/C Issuer and/or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w:t>
      </w:r>
    </w:p>
    <w:p>
      <w:pPr>
        <w:spacing w:after="0" w:line="184"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8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10.18 USA PATRIOT Act</w:t>
      </w:r>
      <w:r>
        <w:rPr>
          <w:rFonts w:ascii="Times New Roman" w:cs="Times New Roman" w:eastAsia="Times New Roman" w:hAnsi="Times New Roman"/>
          <w:sz w:val="20"/>
          <w:szCs w:val="20"/>
          <w:color w:val="auto"/>
        </w:rPr>
        <w:t>. Each Lender that is subject to the Act (as hereinafter defined) and the Administrative Agent (for itself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10.19 U.K. KNOW YOUR CUSTOMER CHECKS</w:t>
      </w:r>
      <w:r>
        <w:rPr>
          <w:rFonts w:ascii="Times New Roman" w:cs="Times New Roman" w:eastAsia="Times New Roman" w:hAnsi="Times New Roman"/>
          <w:sz w:val="20"/>
          <w:szCs w:val="20"/>
          <w:color w:val="auto"/>
        </w:rPr>
        <w:t>. If (i) the introduction of or any change in (or in the interpretation,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or application of) any law or regulation made after the Closing Date; (ii) any change in the status of a U.K. Borrower after the Closing Date; or (iii) a proposed assignment or transfer by a Lender of any of its rights and obligations under this Agreement to a party that is not a Lender prior to such assignment or transfer, obliges the Administrative Agent or any Lender (or, in the case of paragraph (iii) above, any prospective new Lender) to comply with “know your customer” or similar identification procedures in circumstances where the necessary information is not already available to it, each U.K. Borrower shall promptly upon the request of the Administrative Agent or any Lender supply, or procure the supply of, such documentation and other evidence as is reasonably requested by the Administrative Agent (for itself or on behalf of any Lender) or any Lender (for itself or, in the case of the event described in paragraph (iii) above, on behalf of any prospective new Lender) in order for the Administrative Agent, such Lender or, in the case of the event described in paragraph (iii) above, 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7" w:name="page318"/>
    <w:bookmarkEnd w:id="317"/>
    <w:p>
      <w:pPr>
        <w:jc w:val="both"/>
        <w:spacing w:after="0" w:line="269" w:lineRule="auto"/>
        <w:rPr>
          <w:sz w:val="20"/>
          <w:szCs w:val="20"/>
          <w:color w:val="auto"/>
        </w:rPr>
      </w:pPr>
      <w:r>
        <w:rPr>
          <w:rFonts w:ascii="Times New Roman" w:cs="Times New Roman" w:eastAsia="Times New Roman" w:hAnsi="Times New Roman"/>
          <w:sz w:val="20"/>
          <w:szCs w:val="20"/>
          <w:color w:val="auto"/>
        </w:rPr>
        <w:t>prospective new Lender to carry out and be satisfied it has complied with all necessary “know your customer” or other similar checks under all applicable laws and regulations pursuant to the transactions contemplated in the Loan Documents; and</w:t>
      </w:r>
    </w:p>
    <w:p>
      <w:pPr>
        <w:spacing w:after="0" w:line="159"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Lender shall promptly, upon the request of the Administrative Agent, supply or procure the supply of, such documentation and other evidence as is reasonably requested by the Administrative Agent (for itself) in order for the Administrative Agent to carry out and be satisfied it has complied with all necessary “know your customer” or other similar checks under all applicable laws and regulations pursuant to the transactions contemplated in the Loan Documents.</w:t>
      </w:r>
    </w:p>
    <w:p>
      <w:pPr>
        <w:spacing w:after="0" w:line="17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b w:val="1"/>
          <w:bCs w:val="1"/>
          <w:color w:val="auto"/>
        </w:rPr>
        <w:t>10.20 Canadian Anti-Money Laundering Legislation</w:t>
      </w:r>
      <w:r>
        <w:rPr>
          <w:rFonts w:ascii="Times New Roman" w:cs="Times New Roman" w:eastAsia="Times New Roman" w:hAnsi="Times New Roman"/>
          <w:sz w:val="20"/>
          <w:szCs w:val="20"/>
          <w:color w:val="auto"/>
        </w:rPr>
        <w:t>. (a) Each Loan Party acknowledges that, pursuant to Canadian Anti-Money Laundering Legislation and other applicable anti-money laundering, anti-terrorist financing, government sanction and “know your client” laws (collectively, including any guidelines or orders thereunder, “AML Legislation”), the Lenders may be required to obtain, verify and record information regarding the Loan Parties and their respective directors, authorized signing officers, direct or indirect shareholders or other Persons in control of the Loan Parties, and the transactions contemplated hereby. Each Loan Party shall promptly provide all such information, including supporting documentation and other evidence, as may be reasonably requested by any Lender or any prospective assignee or participant of a Lender or the Administrative Agent, in order to comply with any applicable AML Legislation, whether now or hereafter in existence.</w:t>
      </w:r>
    </w:p>
    <w:p>
      <w:pPr>
        <w:spacing w:after="0" w:line="186" w:lineRule="exact"/>
        <w:rPr>
          <w:sz w:val="20"/>
          <w:szCs w:val="20"/>
          <w:color w:val="auto"/>
        </w:rPr>
      </w:pPr>
    </w:p>
    <w:p>
      <w:pPr>
        <w:ind w:firstLine="757"/>
        <w:spacing w:after="0" w:line="269" w:lineRule="auto"/>
        <w:tabs>
          <w:tab w:leader="none" w:pos="1018"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Administrative Agent has ascertained the identity of any Loan Party or any authorized signatories of the Loan Parties for the purposes of applicable AML Legislation, then the Administrative Agent:</w:t>
      </w:r>
    </w:p>
    <w:p>
      <w:pPr>
        <w:spacing w:after="0" w:line="159" w:lineRule="exact"/>
        <w:rPr>
          <w:rFonts w:ascii="Times New Roman" w:cs="Times New Roman" w:eastAsia="Times New Roman" w:hAnsi="Times New Roman"/>
          <w:sz w:val="20"/>
          <w:szCs w:val="20"/>
          <w:color w:val="auto"/>
        </w:rPr>
      </w:pPr>
    </w:p>
    <w:p>
      <w:pPr>
        <w:jc w:val="both"/>
        <w:ind w:left="760" w:firstLine="745"/>
        <w:spacing w:after="0" w:line="254" w:lineRule="auto"/>
        <w:tabs>
          <w:tab w:leader="none" w:pos="2048"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deemed to have done so as an agent for each Lender, and this Agreement shall constitute a “written agreement” in such regard between each Lender and the Administrative Agent within the meaning of the applicable AML Legislation; and</w:t>
      </w:r>
    </w:p>
    <w:p>
      <w:pPr>
        <w:spacing w:after="0" w:line="174"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provide to each Lender copies of all information obtained in such regard without any representation or warranty as to its accuracy or completeness.</w:t>
      </w:r>
    </w:p>
    <w:p>
      <w:pPr>
        <w:spacing w:after="0" w:line="159" w:lineRule="exact"/>
        <w:rPr>
          <w:sz w:val="20"/>
          <w:szCs w:val="20"/>
          <w:color w:val="auto"/>
        </w:rPr>
      </w:pPr>
    </w:p>
    <w:p>
      <w:pPr>
        <w:jc w:val="both"/>
        <w:ind w:left="100" w:firstLine="749"/>
        <w:spacing w:after="0" w:line="249" w:lineRule="auto"/>
        <w:rPr>
          <w:sz w:val="20"/>
          <w:szCs w:val="20"/>
          <w:color w:val="auto"/>
        </w:rPr>
      </w:pPr>
      <w:r>
        <w:rPr>
          <w:rFonts w:ascii="Times New Roman" w:cs="Times New Roman" w:eastAsia="Times New Roman" w:hAnsi="Times New Roman"/>
          <w:sz w:val="20"/>
          <w:szCs w:val="20"/>
          <w:color w:val="auto"/>
        </w:rPr>
        <w:t>Notwithstanding the preceding sentence and except as may otherwise be agreed in writing, each of the Lenders agrees that the Administrative Agent has no obligation to ascertain the identity of the Loan Parties or any authorized signatories of the Loan Parties on behalf of any Lender, or to confirm the completeness or accuracy of any information it obtains from any Loan Party or any such authorized signatory in doing so.</w:t>
      </w:r>
    </w:p>
    <w:p>
      <w:pPr>
        <w:spacing w:after="0" w:line="17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b w:val="1"/>
          <w:bCs w:val="1"/>
          <w:color w:val="auto"/>
        </w:rPr>
        <w:t>10.21 Judgment Currency</w:t>
      </w:r>
      <w:r>
        <w:rPr>
          <w:rFonts w:ascii="Times New Roman" w:cs="Times New Roman" w:eastAsia="Times New Roman" w:hAnsi="Times New Roman"/>
          <w:sz w:val="20"/>
          <w:szCs w:val="20"/>
          <w:color w:val="auto"/>
        </w:rPr>
        <w:t>. If, for the purposes of obtaining judgment in any court, it is necessary to convert a sum due hereunder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Loan Party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0"/>
          <w:szCs w:val="20"/>
          <w:u w:val="single" w:color="auto"/>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u w:val="single" w:color="auto"/>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8" w:name="page319"/>
    <w:bookmarkEnd w:id="318"/>
    <w:p>
      <w:pPr>
        <w:jc w:val="both"/>
        <w:spacing w:after="0" w:line="246" w:lineRule="auto"/>
        <w:rPr>
          <w:sz w:val="20"/>
          <w:szCs w:val="20"/>
          <w:color w:val="auto"/>
        </w:rPr>
      </w:pPr>
      <w:r>
        <w:rPr>
          <w:rFonts w:ascii="Times New Roman" w:cs="Times New Roman" w:eastAsia="Times New Roman" w:hAnsi="Times New Roman"/>
          <w:sz w:val="20"/>
          <w:szCs w:val="20"/>
          <w:color w:val="auto"/>
        </w:rPr>
        <w:t>Lender from any Loan Party in the Agreement Currency, such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Loan Party (or to any other Person who may be entitled thereto under applicable law).</w:t>
      </w:r>
    </w:p>
    <w:p>
      <w:pPr>
        <w:spacing w:after="0" w:line="18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10.22 Waiver of Sovereign Immunity</w:t>
      </w:r>
      <w:r>
        <w:rPr>
          <w:rFonts w:ascii="Times New Roman" w:cs="Times New Roman" w:eastAsia="Times New Roman" w:hAnsi="Times New Roman"/>
          <w:sz w:val="20"/>
          <w:szCs w:val="20"/>
          <w:color w:val="auto"/>
        </w:rPr>
        <w:t>. To the extent that any Loan Party may be or become entitled to claim for itself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Loan Party hereby irrevocably agrees not to claim and hereby irrevocably waives such immunity with respect to the Obligations.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10.23 Acknowledgement and Consent to Bail-In of Affected Financial Institutions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Solely to the extent any Lender or L/C Issuer that is an Affected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5" w:lineRule="exact"/>
        <w:rPr>
          <w:sz w:val="20"/>
          <w:szCs w:val="20"/>
          <w:color w:val="auto"/>
        </w:rPr>
      </w:pPr>
    </w:p>
    <w:p>
      <w:pPr>
        <w:ind w:right="20" w:firstLine="757"/>
        <w:spacing w:after="0" w:line="269" w:lineRule="auto"/>
        <w:tabs>
          <w:tab w:leader="none" w:pos="1018"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Lender or L/C Issuer that is an Affected Financial Institution; and</w:t>
      </w:r>
    </w:p>
    <w:p>
      <w:pPr>
        <w:spacing w:after="0" w:line="159"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9" w:lineRule="auto"/>
        <w:tabs>
          <w:tab w:leader="none" w:pos="2048"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left="760" w:firstLine="745"/>
        <w:spacing w:after="0" w:line="269" w:lineRule="auto"/>
        <w:tabs>
          <w:tab w:leader="none" w:pos="2048"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0"/>
          <w:szCs w:val="20"/>
          <w:b w:val="1"/>
          <w:bCs w:val="1"/>
          <w:color w:val="auto"/>
        </w:rPr>
        <w:t>10.24 Effect of Amendment and Restatement of the Existing Credit Agreement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757"/>
        <w:spacing w:after="0" w:line="246" w:lineRule="auto"/>
        <w:tabs>
          <w:tab w:leader="none" w:pos="1018"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Closing Date, the Existing Credit Agreement shall be amended and restated in its entirety. The parties hereto acknowledge and agree that (i) this Agreement and the other Loan Documents, whether executed and delivered in connection herewith or otherwise, do not constitute a novation or termination of the “Obligations” (as defined in the Existing Credit Agreement) under the Existing Credit Agreement as in effect immediately prior to the Closing Date and which remain outstanding and (ii) the “Obligations” (as amended and restated hereby and which are hereinafter subject to the terms herein) are in all respects continuing.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9" w:name="page320"/>
    <w:bookmarkEnd w:id="319"/>
    <w:p>
      <w:pPr>
        <w:jc w:val="both"/>
        <w:ind w:firstLine="757"/>
        <w:spacing w:after="0" w:line="259" w:lineRule="auto"/>
        <w:tabs>
          <w:tab w:leader="none" w:pos="1018"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parties hereto severally and for itself agrees that on the Closing Date, each Existing Lender hereby irrevocably sells, transfer, conveys and assigns, without recourse, representation or warranty (except as expressly set forth herein), to each Lender, and each such Lender hereby irrevocably purchases from such Existing Lender, a portion of the rights and obligations of such Existing Lender under the Existing Credit Agreement and each other Loan Document in respect of its existing Loans and Commitments under (and as defined in) the Existing Credit Agreement such that, after giving effect to the foregoing assignment and delegation and any increase in the aggregate Commitments effected pursuant hereto, each Lender’s Applicable Percentage of the Commitments and pro rata portion of the Loans for the purposes of this Agreement and each other Loan Document will be as set forth opposite such Person’s name on </w:t>
      </w:r>
      <w:r>
        <w:rPr>
          <w:rFonts w:ascii="Times New Roman" w:cs="Times New Roman" w:eastAsia="Times New Roman" w:hAnsi="Times New Roman"/>
          <w:sz w:val="19"/>
          <w:szCs w:val="19"/>
          <w:u w:val="single" w:color="auto"/>
          <w:color w:val="auto"/>
        </w:rPr>
        <w:t>Schedule 2.01</w:t>
      </w:r>
      <w:r>
        <w:rPr>
          <w:rFonts w:ascii="Times New Roman" w:cs="Times New Roman" w:eastAsia="Times New Roman" w:hAnsi="Times New Roman"/>
          <w:sz w:val="19"/>
          <w:szCs w:val="19"/>
          <w:color w:val="auto"/>
        </w:rPr>
        <w:t>.</w:t>
      </w:r>
    </w:p>
    <w:p>
      <w:pPr>
        <w:spacing w:after="0" w:line="172" w:lineRule="exact"/>
        <w:rPr>
          <w:rFonts w:ascii="Times New Roman" w:cs="Times New Roman" w:eastAsia="Times New Roman" w:hAnsi="Times New Roman"/>
          <w:sz w:val="19"/>
          <w:szCs w:val="19"/>
          <w:color w:val="auto"/>
        </w:rPr>
      </w:pPr>
    </w:p>
    <w:p>
      <w:pPr>
        <w:jc w:val="both"/>
        <w:ind w:firstLine="757"/>
        <w:spacing w:after="0" w:line="249" w:lineRule="auto"/>
        <w:tabs>
          <w:tab w:leader="none" w:pos="101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Existing Lender hereby represents and warrants to each Lender that, immediately before giving effect to the provisions of this Section, (i) such Existing Lender is the legal and beneficial owner of the portion of its rights and obligations in respect of its Existing Loans being assigned to each Lender as set forth above; and (ii) such rights and obligations being assigned and sold by such Existing Lender are free and clear of any adverse claim or encumbrance created by such Existing Lender.</w:t>
      </w:r>
    </w:p>
    <w:p>
      <w:pPr>
        <w:spacing w:after="0" w:line="179" w:lineRule="exact"/>
        <w:rPr>
          <w:rFonts w:ascii="Times New Roman" w:cs="Times New Roman" w:eastAsia="Times New Roman" w:hAnsi="Times New Roman"/>
          <w:sz w:val="20"/>
          <w:szCs w:val="20"/>
          <w:color w:val="auto"/>
        </w:rPr>
      </w:pPr>
    </w:p>
    <w:p>
      <w:pPr>
        <w:jc w:val="both"/>
        <w:ind w:firstLine="757"/>
        <w:spacing w:after="0" w:line="259" w:lineRule="auto"/>
        <w:tabs>
          <w:tab w:leader="none" w:pos="1018" w:val="left"/>
        </w:tabs>
        <w:numPr>
          <w:ilvl w:val="0"/>
          <w:numId w:val="2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of the Lenders hereby acknowledges and agrees that (i) other than the representations and warranties contained above, no Lender nor the Administrative Agent has made any representations or warranties or assumed any responsibility with respect to (A) any statements, warranties or representations made in or in connection with this Agreement or the execution, legality, validity, enforceability, genuineness or sufficiency of this Agreement, the Existing Credit Agreement or any other Loan Document or (B) the financial condition of any Loan Party or the performance by any Loan Party of the Obligations; (ii) it has received such information as it has deemed appropriate to make its own credit analysis and decision to enter into this Agreement; and (iii) it has made and continues to make its own credit decisions in taking or not taking action under this Agreement, independently and without reliance upon the Administrative Agent or any other Lender.</w:t>
      </w:r>
    </w:p>
    <w:p>
      <w:pPr>
        <w:spacing w:after="0" w:line="172" w:lineRule="exact"/>
        <w:rPr>
          <w:rFonts w:ascii="Times New Roman" w:cs="Times New Roman" w:eastAsia="Times New Roman" w:hAnsi="Times New Roman"/>
          <w:sz w:val="19"/>
          <w:szCs w:val="19"/>
          <w:color w:val="auto"/>
        </w:rPr>
      </w:pPr>
    </w:p>
    <w:p>
      <w:pPr>
        <w:jc w:val="both"/>
        <w:ind w:firstLine="757"/>
        <w:spacing w:after="0" w:line="254" w:lineRule="auto"/>
        <w:tabs>
          <w:tab w:leader="none" w:pos="101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(including the Company), each of the Lenders and the Administrative Agent also agree that each of the Lenders shall, as of the Closing Date, have all of the rights and interests as a Lender in respect of the Loans purchased and assumed by it, to the extent of the rights and obligations so purchased and assumed by it.</w:t>
      </w:r>
    </w:p>
    <w:p>
      <w:pPr>
        <w:spacing w:after="0" w:line="174"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which is purchasing any portion of the Existing Loans shall deliver to the Administrative Agent immediately available funds in the full amount of the purchase made by it and the Administrative Agent shall, to the extent of the funds so received, disburse such funds to the Existing Lenders that are making sales and assignments in the amount of the portions so sold and assigned.</w:t>
      </w:r>
    </w:p>
    <w:p>
      <w:pPr>
        <w:spacing w:after="0" w:line="174" w:lineRule="exact"/>
        <w:rPr>
          <w:rFonts w:ascii="Times New Roman" w:cs="Times New Roman" w:eastAsia="Times New Roman" w:hAnsi="Times New Roman"/>
          <w:sz w:val="20"/>
          <w:szCs w:val="20"/>
          <w:color w:val="auto"/>
        </w:rPr>
      </w:pPr>
    </w:p>
    <w:p>
      <w:pPr>
        <w:ind w:right="20" w:firstLine="757"/>
        <w:spacing w:after="0" w:line="269" w:lineRule="auto"/>
        <w:tabs>
          <w:tab w:leader="none" w:pos="1018"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acknowledges and agrees that, in connection with the reallocation of any Existing Loans as contemplated in this Section, neither the Company nor any Borrower shall be liable for any costs and fees contemplated in </w:t>
      </w:r>
      <w:r>
        <w:rPr>
          <w:rFonts w:ascii="Times New Roman" w:cs="Times New Roman" w:eastAsia="Times New Roman" w:hAnsi="Times New Roman"/>
          <w:sz w:val="20"/>
          <w:szCs w:val="20"/>
          <w:u w:val="single" w:color="auto"/>
          <w:color w:val="auto"/>
        </w:rPr>
        <w:t>Section 3.05</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left="100" w:firstLine="749"/>
        <w:spacing w:after="0" w:line="276" w:lineRule="auto"/>
        <w:rPr>
          <w:sz w:val="20"/>
          <w:szCs w:val="20"/>
          <w:color w:val="auto"/>
        </w:rPr>
      </w:pPr>
      <w:r>
        <w:rPr>
          <w:rFonts w:ascii="Times New Roman" w:cs="Times New Roman" w:eastAsia="Times New Roman" w:hAnsi="Times New Roman"/>
          <w:sz w:val="19"/>
          <w:szCs w:val="19"/>
          <w:b w:val="1"/>
          <w:bCs w:val="1"/>
          <w:color w:val="auto"/>
        </w:rPr>
        <w:t>10.25 Release of Collateral</w:t>
      </w:r>
      <w:r>
        <w:rPr>
          <w:rFonts w:ascii="Times New Roman" w:cs="Times New Roman" w:eastAsia="Times New Roman" w:hAnsi="Times New Roman"/>
          <w:sz w:val="19"/>
          <w:szCs w:val="19"/>
          <w:color w:val="auto"/>
        </w:rPr>
        <w:t>. No amendment or waiver of any provision of this Agreement or any other Loan Document, and no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consent to any departure by the Company or any other Loan Party therefrom, shall be effective if such amendment, waiver or consent shall release all or substantially all of the Collateral in any transaction or series of related transactions without the written consent of each Lender.</w:t>
      </w:r>
    </w:p>
    <w:p>
      <w:pPr>
        <w:spacing w:after="0" w:line="151" w:lineRule="exact"/>
        <w:rPr>
          <w:sz w:val="20"/>
          <w:szCs w:val="20"/>
          <w:color w:val="auto"/>
        </w:rPr>
      </w:pPr>
    </w:p>
    <w:p>
      <w:pPr>
        <w:jc w:val="both"/>
        <w:ind w:lef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10.26 Acknowledgement Regarding Any Supported QFCs</w:t>
      </w:r>
      <w:r>
        <w:rPr>
          <w:rFonts w:ascii="Times New Roman" w:cs="Times New Roman" w:eastAsia="Times New Roman" w:hAnsi="Times New Roman"/>
          <w:sz w:val="20"/>
          <w:szCs w:val="20"/>
          <w:color w:val="auto"/>
        </w:rPr>
        <w:t>. To the extent that the Loan Documents provide support, through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guarantee or otherwise, for any Swap Contract or any other agreement or instrument that is a QFC (such support, “</w:t>
      </w:r>
      <w:r>
        <w:rPr>
          <w:rFonts w:ascii="Times New Roman" w:cs="Times New Roman" w:eastAsia="Times New Roman" w:hAnsi="Times New Roman"/>
          <w:sz w:val="20"/>
          <w:szCs w:val="20"/>
          <w:u w:val="single" w:color="auto"/>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u w:val="single" w:color="auto"/>
          <w:color w:val="auto"/>
        </w:rPr>
        <w:t>Supported QFC</w:t>
      </w:r>
      <w:r>
        <w:rPr>
          <w:rFonts w:ascii="Times New Roman" w:cs="Times New Roman" w:eastAsia="Times New Roman" w:hAnsi="Times New Roman"/>
          <w:sz w:val="20"/>
          <w:szCs w:val="20"/>
          <w:color w:val="auto"/>
        </w:rPr>
        <w:t>”), the parties acknowledge and agree as follows with respect to the resolution power of</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0" w:name="page321"/>
    <w:bookmarkEnd w:id="320"/>
    <w:p>
      <w:pPr>
        <w:jc w:val="both"/>
        <w:ind w:left="100"/>
        <w:spacing w:after="0" w:line="246" w:lineRule="auto"/>
        <w:rPr>
          <w:sz w:val="20"/>
          <w:szCs w:val="20"/>
          <w:color w:val="auto"/>
        </w:rPr>
      </w:pPr>
      <w:r>
        <w:rPr>
          <w:rFonts w:ascii="Times New Roman" w:cs="Times New Roman" w:eastAsia="Times New Roman" w:hAnsi="Times New Roman"/>
          <w:sz w:val="20"/>
          <w:szCs w:val="20"/>
          <w:color w:val="auto"/>
        </w:rPr>
        <w:t>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u w:val="single" w:color="auto"/>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jc w:val="both"/>
        <w:ind w:firstLine="757"/>
        <w:spacing w:after="0" w:line="242" w:lineRule="auto"/>
        <w:tabs>
          <w:tab w:leader="none" w:pos="1018"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used in this Section, the following terms have the following meanings:</w:t>
      </w:r>
    </w:p>
    <w:p>
      <w:pPr>
        <w:spacing w:after="0" w:line="216" w:lineRule="exact"/>
        <w:rPr>
          <w:sz w:val="20"/>
          <w:szCs w:val="20"/>
          <w:color w:val="auto"/>
        </w:rPr>
      </w:pPr>
    </w:p>
    <w:p>
      <w:pPr>
        <w:ind w:left="860" w:firstLine="39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9" w:lineRule="exact"/>
        <w:rPr>
          <w:sz w:val="20"/>
          <w:szCs w:val="20"/>
          <w:color w:val="auto"/>
        </w:rPr>
      </w:pPr>
    </w:p>
    <w:p>
      <w:pPr>
        <w:ind w:left="860" w:firstLine="656"/>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Pages Intentionally Omitted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10.2.15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HAIN CELESTIAL 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GRANT OF RESTRICTED SHARE UNITS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The Participant has been granted an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pursuant to The Hain Celestial Group, Inc.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consisting of one or more rights (each such right being hereafter referred to as a “</w:t>
      </w:r>
      <w:r>
        <w:rPr>
          <w:rFonts w:ascii="Arial" w:cs="Arial" w:eastAsia="Arial" w:hAnsi="Arial"/>
          <w:sz w:val="22"/>
          <w:szCs w:val="22"/>
          <w:b w:val="1"/>
          <w:bCs w:val="1"/>
          <w:i w:val="1"/>
          <w:iCs w:val="1"/>
          <w:color w:val="auto"/>
        </w:rPr>
        <w:t>Restricted Share Unit</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w:t>
      </w:r>
      <w:r>
        <w:rPr>
          <w:rFonts w:ascii="Arial" w:cs="Arial" w:eastAsia="Arial" w:hAnsi="Arial"/>
          <w:sz w:val="22"/>
          <w:szCs w:val="22"/>
          <w:color w:val="auto"/>
        </w:rPr>
        <w:t>”) to receive in settlement of each such right one (1) share of common stock of The Hain Celestial Group, Inc. By accepting below, the Participant acknowledges and agrees that the Award and the Restricted Share Units shall be subject in all respects to the terms and conditions set forth in the Plan and the Restricted Share Unit Agreement attached hereto.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200" w:type="dxa"/>
            <w:vAlign w:val="bottom"/>
            <w:gridSpan w:val="2"/>
          </w:tcPr>
          <w:p>
            <w:pPr>
              <w:ind w:left="100"/>
              <w:spacing w:after="0"/>
              <w:rPr>
                <w:sz w:val="20"/>
                <w:szCs w:val="20"/>
                <w:color w:val="auto"/>
              </w:rPr>
            </w:pPr>
            <w:r>
              <w:rPr>
                <w:rFonts w:ascii="Arial" w:cs="Arial" w:eastAsia="Arial" w:hAnsi="Arial"/>
                <w:sz w:val="22"/>
                <w:szCs w:val="22"/>
                <w:b w:val="1"/>
                <w:bCs w:val="1"/>
                <w:color w:val="auto"/>
              </w:rPr>
              <w:t>Participant:</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980" w:type="dxa"/>
            <w:vAlign w:val="bottom"/>
            <w:gridSpan w:val="2"/>
          </w:tcPr>
          <w:p>
            <w:pPr>
              <w:ind w:left="60"/>
              <w:spacing w:after="0"/>
              <w:rPr>
                <w:sz w:val="20"/>
                <w:szCs w:val="20"/>
                <w:color w:val="auto"/>
              </w:rPr>
            </w:pPr>
            <w:r>
              <w:rPr>
                <w:rFonts w:ascii="Arial" w:cs="Arial" w:eastAsia="Arial" w:hAnsi="Arial"/>
                <w:sz w:val="22"/>
                <w:szCs w:val="22"/>
                <w:color w:val="auto"/>
              </w:rPr>
              <w:t>Alison E. Lewis</w:t>
            </w:r>
          </w:p>
        </w:tc>
      </w:tr>
      <w:tr>
        <w:trPr>
          <w:trHeight w:val="351"/>
        </w:trPr>
        <w:tc>
          <w:tcPr>
            <w:tcW w:w="2200" w:type="dxa"/>
            <w:vAlign w:val="bottom"/>
            <w:gridSpan w:val="2"/>
          </w:tcPr>
          <w:p>
            <w:pPr>
              <w:ind w:left="100"/>
              <w:spacing w:after="0"/>
              <w:rPr>
                <w:sz w:val="20"/>
                <w:szCs w:val="20"/>
                <w:color w:val="auto"/>
              </w:rPr>
            </w:pPr>
            <w:r>
              <w:rPr>
                <w:rFonts w:ascii="Arial" w:cs="Arial" w:eastAsia="Arial" w:hAnsi="Arial"/>
                <w:sz w:val="22"/>
                <w:szCs w:val="22"/>
                <w:b w:val="1"/>
                <w:bCs w:val="1"/>
                <w:color w:val="auto"/>
              </w:rPr>
              <w:t>Grant Date:</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980" w:type="dxa"/>
            <w:vAlign w:val="bottom"/>
            <w:gridSpan w:val="2"/>
          </w:tcPr>
          <w:p>
            <w:pPr>
              <w:ind w:left="60"/>
              <w:spacing w:after="0"/>
              <w:rPr>
                <w:sz w:val="20"/>
                <w:szCs w:val="20"/>
                <w:color w:val="auto"/>
              </w:rPr>
            </w:pPr>
            <w:r>
              <w:rPr>
                <w:rFonts w:ascii="Arial" w:cs="Arial" w:eastAsia="Arial" w:hAnsi="Arial"/>
                <w:sz w:val="22"/>
                <w:szCs w:val="22"/>
                <w:color w:val="auto"/>
              </w:rPr>
              <w:t>May 7, 2025</w:t>
            </w:r>
          </w:p>
        </w:tc>
      </w:tr>
      <w:tr>
        <w:trPr>
          <w:trHeight w:val="351"/>
        </w:trPr>
        <w:tc>
          <w:tcPr>
            <w:tcW w:w="3260" w:type="dxa"/>
            <w:vAlign w:val="bottom"/>
            <w:gridSpan w:val="4"/>
          </w:tcPr>
          <w:p>
            <w:pPr>
              <w:ind w:left="100"/>
              <w:spacing w:after="0"/>
              <w:rPr>
                <w:sz w:val="20"/>
                <w:szCs w:val="20"/>
                <w:color w:val="auto"/>
              </w:rPr>
            </w:pPr>
            <w:r>
              <w:rPr>
                <w:rFonts w:ascii="Arial" w:cs="Arial" w:eastAsia="Arial" w:hAnsi="Arial"/>
                <w:sz w:val="22"/>
                <w:szCs w:val="22"/>
                <w:b w:val="1"/>
                <w:bCs w:val="1"/>
                <w:color w:val="auto"/>
              </w:rPr>
              <w:t>Total Number of RSUs:</w:t>
            </w:r>
          </w:p>
        </w:tc>
        <w:tc>
          <w:tcPr>
            <w:tcW w:w="3140" w:type="dxa"/>
            <w:vAlign w:val="bottom"/>
          </w:tcPr>
          <w:p>
            <w:pPr>
              <w:ind w:left="60"/>
              <w:spacing w:after="0"/>
              <w:rPr>
                <w:sz w:val="20"/>
                <w:szCs w:val="20"/>
                <w:color w:val="auto"/>
              </w:rPr>
            </w:pPr>
            <w:r>
              <w:rPr>
                <w:rFonts w:ascii="Arial" w:cs="Arial" w:eastAsia="Arial" w:hAnsi="Arial"/>
                <w:sz w:val="22"/>
                <w:szCs w:val="22"/>
                <w:color w:val="auto"/>
              </w:rPr>
              <w:t>620,689</w:t>
            </w:r>
          </w:p>
        </w:tc>
        <w:tc>
          <w:tcPr>
            <w:tcW w:w="4840" w:type="dxa"/>
            <w:vAlign w:val="bottom"/>
          </w:tcPr>
          <w:p>
            <w:pPr>
              <w:spacing w:after="0"/>
              <w:rPr>
                <w:sz w:val="24"/>
                <w:szCs w:val="24"/>
                <w:color w:val="auto"/>
              </w:rPr>
            </w:pPr>
          </w:p>
        </w:tc>
      </w:tr>
      <w:tr>
        <w:trPr>
          <w:trHeight w:val="299"/>
        </w:trPr>
        <w:tc>
          <w:tcPr>
            <w:tcW w:w="2200" w:type="dxa"/>
            <w:vAlign w:val="bottom"/>
            <w:gridSpan w:val="2"/>
          </w:tcPr>
          <w:p>
            <w:pPr>
              <w:ind w:left="100"/>
              <w:spacing w:after="0"/>
              <w:rPr>
                <w:sz w:val="20"/>
                <w:szCs w:val="20"/>
                <w:color w:val="auto"/>
              </w:rPr>
            </w:pPr>
            <w:r>
              <w:rPr>
                <w:rFonts w:ascii="Arial" w:cs="Arial" w:eastAsia="Arial" w:hAnsi="Arial"/>
                <w:sz w:val="22"/>
                <w:szCs w:val="22"/>
                <w:b w:val="1"/>
                <w:bCs w:val="1"/>
                <w:color w:val="auto"/>
              </w:rPr>
              <w:t>Vesting of Shares: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980" w:type="dxa"/>
            <w:vAlign w:val="bottom"/>
            <w:gridSpan w:val="2"/>
          </w:tcPr>
          <w:p>
            <w:pPr>
              <w:ind w:left="60"/>
              <w:spacing w:after="0"/>
              <w:rPr>
                <w:sz w:val="20"/>
                <w:szCs w:val="20"/>
                <w:color w:val="auto"/>
              </w:rPr>
            </w:pPr>
            <w:r>
              <w:rPr>
                <w:rFonts w:ascii="Arial" w:cs="Arial" w:eastAsia="Arial" w:hAnsi="Arial"/>
                <w:sz w:val="22"/>
                <w:szCs w:val="22"/>
                <w:color w:val="auto"/>
              </w:rPr>
              <w:t>Except as provided in the Restricted Share Unit Agreement and provided that the</w:t>
            </w:r>
          </w:p>
        </w:tc>
      </w:tr>
      <w:tr>
        <w:trPr>
          <w:trHeight w:val="243"/>
        </w:trPr>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98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Participant’s employment has not terminated prior to the relevant date, the RSUs</w:t>
            </w:r>
          </w:p>
        </w:tc>
      </w:tr>
      <w:tr>
        <w:trPr>
          <w:trHeight w:val="243"/>
        </w:trPr>
        <w:tc>
          <w:tcPr>
            <w:tcW w:w="1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98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shall vest in accordance with the schedule set forth below (such vesting date, the</w:t>
            </w:r>
          </w:p>
        </w:tc>
      </w:tr>
      <w:tr>
        <w:trPr>
          <w:trHeight w:val="295"/>
        </w:trPr>
        <w:tc>
          <w:tcPr>
            <w:tcW w:w="1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980" w:type="dxa"/>
            <w:vAlign w:val="bottom"/>
            <w:gridSpan w:val="2"/>
          </w:tcPr>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Vesting Date</w:t>
            </w:r>
            <w:r>
              <w:rPr>
                <w:rFonts w:ascii="Arial" w:cs="Arial" w:eastAsia="Arial" w:hAnsi="Arial"/>
                <w:sz w:val="22"/>
                <w:szCs w:val="22"/>
                <w:color w:val="auto"/>
              </w:rPr>
              <w:t>”).</w:t>
            </w:r>
          </w:p>
        </w:tc>
      </w:tr>
      <w:tr>
        <w:trPr>
          <w:trHeight w:val="824"/>
        </w:trPr>
        <w:tc>
          <w:tcPr>
            <w:tcW w:w="1320" w:type="dxa"/>
            <w:vAlign w:val="bottom"/>
          </w:tcPr>
          <w:p>
            <w:pPr>
              <w:spacing w:after="0"/>
              <w:rPr>
                <w:sz w:val="20"/>
                <w:szCs w:val="20"/>
                <w:color w:val="auto"/>
              </w:rPr>
            </w:pPr>
            <w:r>
              <w:rPr>
                <w:rFonts w:ascii="Arial" w:cs="Arial" w:eastAsia="Arial" w:hAnsi="Arial"/>
                <w:sz w:val="22"/>
                <w:szCs w:val="22"/>
                <w:b w:val="1"/>
                <w:bCs w:val="1"/>
                <w:color w:val="auto"/>
                <w:w w:val="97"/>
              </w:rPr>
              <w:t>Vesting Date</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40" w:type="dxa"/>
            <w:vAlign w:val="bottom"/>
            <w:gridSpan w:val="3"/>
          </w:tcPr>
          <w:p>
            <w:pPr>
              <w:spacing w:after="0"/>
              <w:rPr>
                <w:sz w:val="20"/>
                <w:szCs w:val="20"/>
                <w:color w:val="auto"/>
              </w:rPr>
            </w:pPr>
            <w:r>
              <w:rPr>
                <w:rFonts w:ascii="Arial" w:cs="Arial" w:eastAsia="Arial" w:hAnsi="Arial"/>
                <w:sz w:val="22"/>
                <w:szCs w:val="22"/>
                <w:b w:val="1"/>
                <w:bCs w:val="1"/>
                <w:color w:val="auto"/>
              </w:rPr>
              <w:t>Number of RSUs Vesting on Such Date</w:t>
            </w:r>
          </w:p>
        </w:tc>
      </w:tr>
      <w:tr>
        <w:trPr>
          <w:trHeight w:val="278"/>
        </w:trPr>
        <w:tc>
          <w:tcPr>
            <w:tcW w:w="132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May 7, 2026</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620,689</w:t>
            </w:r>
          </w:p>
        </w:tc>
        <w:tc>
          <w:tcPr>
            <w:tcW w:w="3140" w:type="dxa"/>
            <w:vAlign w:val="bottom"/>
            <w:tcBorders>
              <w:top w:val="single" w:sz="8" w:color="auto"/>
            </w:tcBorders>
          </w:tcPr>
          <w:p>
            <w:pPr>
              <w:spacing w:after="0"/>
              <w:rPr>
                <w:sz w:val="24"/>
                <w:szCs w:val="24"/>
                <w:color w:val="auto"/>
              </w:rPr>
            </w:pPr>
          </w:p>
        </w:tc>
        <w:tc>
          <w:tcPr>
            <w:tcW w:w="4840" w:type="dxa"/>
            <w:vAlign w:val="bottom"/>
          </w:tcPr>
          <w:p>
            <w:pPr>
              <w:spacing w:after="0"/>
              <w:rPr>
                <w:sz w:val="24"/>
                <w:szCs w:val="24"/>
                <w:color w:val="auto"/>
              </w:rPr>
            </w:pPr>
          </w:p>
        </w:tc>
      </w:tr>
      <w:tr>
        <w:trPr>
          <w:trHeight w:val="1856"/>
        </w:trPr>
        <w:tc>
          <w:tcPr>
            <w:tcW w:w="13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10.2.15</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he</w:t>
      </w:r>
      <w:r>
        <w:rPr>
          <w:rFonts w:ascii="Arial" w:cs="Arial" w:eastAsia="Arial" w:hAnsi="Arial"/>
          <w:sz w:val="22"/>
          <w:szCs w:val="22"/>
          <w:b w:val="1"/>
          <w:bCs w:val="1"/>
          <w:color w:val="auto"/>
        </w:rPr>
        <w:t xml:space="preserve"> H</w:t>
      </w:r>
      <w:r>
        <w:rPr>
          <w:rFonts w:ascii="Arial" w:cs="Arial" w:eastAsia="Arial" w:hAnsi="Arial"/>
          <w:sz w:val="14"/>
          <w:szCs w:val="14"/>
          <w:b w:val="1"/>
          <w:bCs w:val="1"/>
          <w:color w:val="auto"/>
        </w:rPr>
        <w:t>ain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elestial</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roup</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estricted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w:t>
      </w:r>
      <w:r>
        <w:rPr>
          <w:rFonts w:ascii="Arial" w:cs="Arial" w:eastAsia="Arial" w:hAnsi="Arial"/>
          <w:sz w:val="22"/>
          <w:szCs w:val="22"/>
          <w:b w:val="1"/>
          <w:bCs w:val="1"/>
          <w:color w:val="auto"/>
        </w:rPr>
        <w:t xml:space="preserve"> U</w:t>
      </w:r>
      <w:r>
        <w:rPr>
          <w:rFonts w:ascii="Arial" w:cs="Arial" w:eastAsia="Arial" w:hAnsi="Arial"/>
          <w:sz w:val="14"/>
          <w:szCs w:val="14"/>
          <w:b w:val="1"/>
          <w:bCs w:val="1"/>
          <w:color w:val="auto"/>
        </w:rPr>
        <w:t>nit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p>
    <w:p>
      <w:pPr>
        <w:spacing w:after="0" w:line="208" w:lineRule="exact"/>
        <w:rPr>
          <w:sz w:val="20"/>
          <w:szCs w:val="20"/>
          <w:color w:val="auto"/>
        </w:rPr>
      </w:pPr>
    </w:p>
    <w:p>
      <w:pPr>
        <w:jc w:val="both"/>
        <w:ind w:firstLine="1408"/>
        <w:spacing w:after="0" w:line="234" w:lineRule="auto"/>
        <w:rPr>
          <w:sz w:val="20"/>
          <w:szCs w:val="20"/>
          <w:color w:val="auto"/>
        </w:rPr>
      </w:pPr>
      <w:r>
        <w:rPr>
          <w:rFonts w:ascii="Arial" w:cs="Arial" w:eastAsia="Arial" w:hAnsi="Arial"/>
          <w:sz w:val="22"/>
          <w:szCs w:val="22"/>
          <w:color w:val="auto"/>
        </w:rPr>
        <w:t xml:space="preserve">The Hain Celestial Group, Inc. has granted to the Participant named in the </w:t>
      </w:r>
      <w:r>
        <w:rPr>
          <w:rFonts w:ascii="Arial" w:cs="Arial" w:eastAsia="Arial" w:hAnsi="Arial"/>
          <w:sz w:val="22"/>
          <w:szCs w:val="22"/>
          <w:i w:val="1"/>
          <w:iCs w:val="1"/>
          <w:color w:val="auto"/>
        </w:rPr>
        <w:t>Notice of Grant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Restricted Share Units </w:t>
      </w:r>
      <w:r>
        <w:rPr>
          <w:rFonts w:ascii="Arial" w:cs="Arial" w:eastAsia="Arial" w:hAnsi="Arial"/>
          <w:sz w:val="22"/>
          <w:szCs w:val="22"/>
          <w:color w:val="auto"/>
        </w:rPr>
        <w:t>(the</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i w:val="1"/>
          <w:iCs w:val="1"/>
          <w:color w:val="auto"/>
        </w:rPr>
        <w:t>”</w:t>
      </w:r>
      <w:r>
        <w:rPr>
          <w:rFonts w:ascii="Arial" w:cs="Arial" w:eastAsia="Arial" w:hAnsi="Arial"/>
          <w:sz w:val="22"/>
          <w:szCs w:val="22"/>
          <w:color w:val="auto"/>
        </w:rPr>
        <w:t>) to which this Restricted Share Unit Agreement (this</w:t>
      </w:r>
      <w:r>
        <w:rPr>
          <w:rFonts w:ascii="Arial" w:cs="Arial" w:eastAsia="Arial" w:hAnsi="Arial"/>
          <w:sz w:val="22"/>
          <w:szCs w:val="22"/>
          <w:i w:val="1"/>
          <w:iCs w:val="1"/>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is attached</w:t>
      </w:r>
      <w:r>
        <w:rPr>
          <w:rFonts w:ascii="Arial" w:cs="Arial" w:eastAsia="Arial" w:hAnsi="Arial"/>
          <w:sz w:val="22"/>
          <w:szCs w:val="22"/>
          <w:i w:val="1"/>
          <w:iCs w:val="1"/>
          <w:color w:val="auto"/>
        </w:rPr>
        <w:t xml:space="preserve"> </w:t>
      </w:r>
      <w:r>
        <w:rPr>
          <w:rFonts w:ascii="Arial" w:cs="Arial" w:eastAsia="Arial" w:hAnsi="Arial"/>
          <w:sz w:val="22"/>
          <w:szCs w:val="22"/>
          <w:color w:val="auto"/>
        </w:rPr>
        <w:t>an Award consisting of Restricted Share Units (“</w:t>
      </w:r>
      <w:r>
        <w:rPr>
          <w:rFonts w:ascii="Arial" w:cs="Arial" w:eastAsia="Arial" w:hAnsi="Arial"/>
          <w:sz w:val="22"/>
          <w:szCs w:val="22"/>
          <w:b w:val="1"/>
          <w:bCs w:val="1"/>
          <w:i w:val="1"/>
          <w:iCs w:val="1"/>
          <w:color w:val="auto"/>
        </w:rPr>
        <w:t>Restricted Share Units</w:t>
      </w:r>
      <w:r>
        <w:rPr>
          <w:rFonts w:ascii="Arial" w:cs="Arial" w:eastAsia="Arial" w:hAnsi="Arial"/>
          <w:sz w:val="22"/>
          <w:szCs w:val="22"/>
          <w:color w:val="auto"/>
        </w:rPr>
        <w:t>” or “</w:t>
      </w:r>
      <w:r>
        <w:rPr>
          <w:rFonts w:ascii="Arial" w:cs="Arial" w:eastAsia="Arial" w:hAnsi="Arial"/>
          <w:sz w:val="22"/>
          <w:szCs w:val="22"/>
          <w:b w:val="1"/>
          <w:bCs w:val="1"/>
          <w:i w:val="1"/>
          <w:iCs w:val="1"/>
          <w:color w:val="auto"/>
        </w:rPr>
        <w:t>RSUs</w:t>
      </w:r>
      <w:r>
        <w:rPr>
          <w:rFonts w:ascii="Arial" w:cs="Arial" w:eastAsia="Arial" w:hAnsi="Arial"/>
          <w:sz w:val="22"/>
          <w:szCs w:val="22"/>
          <w:color w:val="auto"/>
        </w:rPr>
        <w:t xml:space="preserve">”) subject to the terms and conditions set forth in the Notice and this Agreement. This Award shall constitute a Restricted Share Units award under the Company’s 2022 Long Term Incentive and Stock Award Plan, as amended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the provisions of which are incorporated herein by reference. By accepting the Notice, the Participant: (a) acknowledges receipt of and represents that the Participant has read and is familiar with the Notice, this Agreement, and the Plan, (b) accepts the Award subject to all of the terms and conditions of the Notice, this Agreement and the Plan and (c) agrees to accept as binding, conclusive and final all decisions or interpretations of the Compensation Committee of the Board of Directors of the Company (the “</w:t>
      </w:r>
      <w:r>
        <w:rPr>
          <w:rFonts w:ascii="Arial" w:cs="Arial" w:eastAsia="Arial" w:hAnsi="Arial"/>
          <w:sz w:val="22"/>
          <w:szCs w:val="22"/>
          <w:b w:val="1"/>
          <w:bCs w:val="1"/>
          <w:i w:val="1"/>
          <w:iCs w:val="1"/>
          <w:color w:val="auto"/>
        </w:rPr>
        <w:t>Compensation Committee</w:t>
      </w:r>
      <w:r>
        <w:rPr>
          <w:rFonts w:ascii="Arial" w:cs="Arial" w:eastAsia="Arial" w:hAnsi="Arial"/>
          <w:sz w:val="22"/>
          <w:szCs w:val="22"/>
          <w:color w:val="auto"/>
        </w:rPr>
        <w:t>”) upon any questions arising under the Notice, this Agreement or the Plan.</w:t>
      </w:r>
    </w:p>
    <w:p>
      <w:pPr>
        <w:spacing w:after="0" w:line="174" w:lineRule="exact"/>
        <w:rPr>
          <w:sz w:val="20"/>
          <w:szCs w:val="20"/>
          <w:color w:val="auto"/>
        </w:rPr>
      </w:pPr>
    </w:p>
    <w:p>
      <w:pPr>
        <w:ind w:left="1020" w:hanging="263"/>
        <w:spacing w:after="0"/>
        <w:tabs>
          <w:tab w:leader="none" w:pos="1020" w:val="left"/>
        </w:tabs>
        <w:numPr>
          <w:ilvl w:val="0"/>
          <w:numId w:val="284"/>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DEFINITIONS AND CONSTRUCTION</w:t>
      </w:r>
      <w:r>
        <w:rPr>
          <w:rFonts w:ascii="Arial" w:cs="Arial" w:eastAsia="Arial" w:hAnsi="Arial"/>
          <w:sz w:val="22"/>
          <w:szCs w:val="22"/>
          <w:color w:val="auto"/>
        </w:rPr>
        <w:t>.</w:t>
      </w:r>
    </w:p>
    <w:p>
      <w:pPr>
        <w:spacing w:after="0" w:line="217"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1.1 </w:t>
      </w:r>
      <w:r>
        <w:rPr>
          <w:rFonts w:ascii="Arial" w:cs="Arial" w:eastAsia="Arial" w:hAnsi="Arial"/>
          <w:sz w:val="22"/>
          <w:szCs w:val="22"/>
          <w:b w:val="1"/>
          <w:bCs w:val="1"/>
          <w:color w:val="auto"/>
        </w:rPr>
        <w:t>Definitions</w:t>
      </w:r>
      <w:r>
        <w:rPr>
          <w:rFonts w:ascii="Arial" w:cs="Arial" w:eastAsia="Arial" w:hAnsi="Arial"/>
          <w:sz w:val="22"/>
          <w:szCs w:val="22"/>
          <w:i w:val="1"/>
          <w:iCs w:val="1"/>
          <w:color w:val="auto"/>
        </w:rPr>
        <w:t>.</w:t>
      </w:r>
      <w:r>
        <w:rPr>
          <w:rFonts w:ascii="Calibri" w:cs="Calibri" w:eastAsia="Calibri" w:hAnsi="Calibri"/>
          <w:sz w:val="22"/>
          <w:szCs w:val="22"/>
          <w:color w:val="auto"/>
        </w:rPr>
        <w:t xml:space="preserve"> </w:t>
      </w:r>
      <w:r>
        <w:rPr>
          <w:rFonts w:ascii="Arial" w:cs="Arial" w:eastAsia="Arial" w:hAnsi="Arial"/>
          <w:sz w:val="22"/>
          <w:szCs w:val="22"/>
          <w:color w:val="auto"/>
        </w:rPr>
        <w:t>Unless otherwise defined herein, capitalized terms shall have the meanings</w:t>
      </w:r>
      <w:r>
        <w:rPr>
          <w:rFonts w:ascii="Calibri" w:cs="Calibri" w:eastAsia="Calibri" w:hAnsi="Calibri"/>
          <w:sz w:val="22"/>
          <w:szCs w:val="22"/>
          <w:color w:val="auto"/>
        </w:rPr>
        <w:t xml:space="preserve"> </w:t>
      </w:r>
      <w:r>
        <w:rPr>
          <w:rFonts w:ascii="Arial" w:cs="Arial" w:eastAsia="Arial" w:hAnsi="Arial"/>
          <w:sz w:val="22"/>
          <w:szCs w:val="22"/>
          <w:color w:val="auto"/>
        </w:rPr>
        <w:t>assigned to such terms in the Notice or the Plan.</w:t>
      </w:r>
    </w:p>
    <w:p>
      <w:pPr>
        <w:spacing w:after="0" w:line="146" w:lineRule="exact"/>
        <w:rPr>
          <w:sz w:val="20"/>
          <w:szCs w:val="20"/>
          <w:color w:val="auto"/>
        </w:rPr>
      </w:pPr>
    </w:p>
    <w:p>
      <w:pPr>
        <w:ind w:left="1500"/>
        <w:spacing w:after="0"/>
        <w:tabs>
          <w:tab w:leader="none" w:pos="2020" w:val="left"/>
          <w:tab w:leader="none" w:pos="3840" w:val="left"/>
          <w:tab w:leader="none" w:pos="5160" w:val="left"/>
          <w:tab w:leader="none" w:pos="5960" w:val="left"/>
          <w:tab w:leader="none" w:pos="6360" w:val="left"/>
          <w:tab w:leader="none" w:pos="6860" w:val="left"/>
          <w:tab w:leader="none" w:pos="8240" w:val="left"/>
          <w:tab w:leader="none" w:pos="9640" w:val="left"/>
          <w:tab w:leader="none" w:pos="10040" w:val="left"/>
        </w:tabs>
        <w:rPr>
          <w:sz w:val="20"/>
          <w:szCs w:val="20"/>
          <w:color w:val="auto"/>
        </w:rPr>
      </w:pPr>
      <w:r>
        <w:rPr>
          <w:rFonts w:ascii="Calibri" w:cs="Calibri" w:eastAsia="Calibri" w:hAnsi="Calibri"/>
          <w:sz w:val="22"/>
          <w:szCs w:val="22"/>
          <w:color w:val="auto"/>
        </w:rPr>
        <w:t>1.2</w:t>
      </w:r>
      <w:r>
        <w:rPr>
          <w:sz w:val="20"/>
          <w:szCs w:val="20"/>
          <w:color w:val="auto"/>
        </w:rPr>
        <w:tab/>
      </w:r>
      <w:r>
        <w:rPr>
          <w:rFonts w:ascii="Arial" w:cs="Arial" w:eastAsia="Arial" w:hAnsi="Arial"/>
          <w:sz w:val="22"/>
          <w:szCs w:val="22"/>
          <w:b w:val="1"/>
          <w:bCs w:val="1"/>
          <w:color w:val="auto"/>
        </w:rPr>
        <w:t>Construction</w:t>
      </w:r>
      <w:r>
        <w:rPr>
          <w:rFonts w:ascii="Arial" w:cs="Arial" w:eastAsia="Arial" w:hAnsi="Arial"/>
          <w:sz w:val="22"/>
          <w:szCs w:val="22"/>
          <w:b w:val="1"/>
          <w:bCs w:val="1"/>
          <w:i w:val="1"/>
          <w:iCs w:val="1"/>
          <w:color w:val="auto"/>
        </w:rPr>
        <w:t>.</w:t>
      </w:r>
      <w:r>
        <w:rPr>
          <w:sz w:val="20"/>
          <w:szCs w:val="20"/>
          <w:color w:val="auto"/>
        </w:rPr>
        <w:tab/>
      </w:r>
      <w:r>
        <w:rPr>
          <w:rFonts w:ascii="Arial" w:cs="Arial" w:eastAsia="Arial" w:hAnsi="Arial"/>
          <w:sz w:val="22"/>
          <w:szCs w:val="22"/>
          <w:color w:val="auto"/>
        </w:rPr>
        <w:t>References</w:t>
        <w:tab/>
        <w:t>herein</w:t>
        <w:tab/>
        <w:t>to</w:t>
        <w:tab/>
        <w:t>the</w:t>
        <w:tab/>
        <w:t>Participant’s</w:t>
        <w:tab/>
        <w:t>employment</w:t>
        <w:tab/>
        <w:t>or</w:t>
      </w:r>
      <w:r>
        <w:rPr>
          <w:sz w:val="20"/>
          <w:szCs w:val="20"/>
          <w:color w:val="auto"/>
        </w:rPr>
        <w:tab/>
      </w:r>
      <w:r>
        <w:rPr>
          <w:rFonts w:ascii="Arial" w:cs="Arial" w:eastAsia="Arial" w:hAnsi="Arial"/>
          <w:sz w:val="21"/>
          <w:szCs w:val="21"/>
          <w:color w:val="auto"/>
        </w:rPr>
        <w:t>employment</w:t>
      </w:r>
    </w:p>
    <w:p>
      <w:pPr>
        <w:spacing w:after="0" w:line="3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arrangements with the Company shall be deemed to refer to employment with the Company or any of its Subsidiaries or Affiliates.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1020" w:hanging="263"/>
        <w:spacing w:after="0"/>
        <w:tabs>
          <w:tab w:leader="none" w:pos="1020" w:val="left"/>
        </w:tabs>
        <w:numPr>
          <w:ilvl w:val="0"/>
          <w:numId w:val="285"/>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ADMINISTRATION</w:t>
      </w:r>
      <w:r>
        <w:rPr>
          <w:rFonts w:ascii="Arial" w:cs="Arial" w:eastAsia="Arial" w:hAnsi="Arial"/>
          <w:sz w:val="22"/>
          <w:szCs w:val="22"/>
          <w:color w:val="auto"/>
        </w:rPr>
        <w:t>.</w:t>
      </w:r>
    </w:p>
    <w:p>
      <w:pPr>
        <w:spacing w:after="0" w:line="219" w:lineRule="exact"/>
        <w:rPr>
          <w:sz w:val="20"/>
          <w:szCs w:val="20"/>
          <w:color w:val="auto"/>
        </w:rPr>
      </w:pPr>
    </w:p>
    <w:p>
      <w:pPr>
        <w:jc w:val="both"/>
        <w:ind w:firstLine="1405"/>
        <w:spacing w:after="0"/>
        <w:rPr>
          <w:sz w:val="20"/>
          <w:szCs w:val="20"/>
          <w:color w:val="auto"/>
        </w:rPr>
      </w:pPr>
      <w:r>
        <w:rPr>
          <w:rFonts w:ascii="Arial" w:cs="Arial" w:eastAsia="Arial" w:hAnsi="Arial"/>
          <w:sz w:val="22"/>
          <w:szCs w:val="22"/>
          <w:color w:val="auto"/>
        </w:rPr>
        <w:t>In accordance with Section 3 of the Plan, all questions of interpretation concerning the Notice and this Agreement shall be determined by the Compensation Committee. All determinations by the Compensation Committee made reasonably and in good faith shall be final and binding upon all persons having an interest in this Award.</w:t>
      </w:r>
    </w:p>
    <w:p>
      <w:pPr>
        <w:spacing w:after="0" w:line="174" w:lineRule="exact"/>
        <w:rPr>
          <w:sz w:val="20"/>
          <w:szCs w:val="20"/>
          <w:color w:val="auto"/>
        </w:rPr>
      </w:pPr>
    </w:p>
    <w:p>
      <w:pPr>
        <w:ind w:left="1020" w:hanging="263"/>
        <w:spacing w:after="0"/>
        <w:tabs>
          <w:tab w:leader="none" w:pos="1020" w:val="left"/>
        </w:tabs>
        <w:numPr>
          <w:ilvl w:val="0"/>
          <w:numId w:val="286"/>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THE AWARD</w:t>
      </w:r>
      <w:r>
        <w:rPr>
          <w:rFonts w:ascii="Arial" w:cs="Arial" w:eastAsia="Arial" w:hAnsi="Arial"/>
          <w:sz w:val="22"/>
          <w:szCs w:val="22"/>
          <w:b w:val="1"/>
          <w:bCs w:val="1"/>
          <w:color w:val="auto"/>
        </w:rPr>
        <w:t>.</w:t>
      </w:r>
    </w:p>
    <w:p>
      <w:pPr>
        <w:spacing w:after="0" w:line="205"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3.1</w:t>
      </w:r>
      <w:r>
        <w:rPr>
          <w:sz w:val="20"/>
          <w:szCs w:val="20"/>
          <w:color w:val="auto"/>
        </w:rPr>
        <w:tab/>
      </w:r>
      <w:r>
        <w:rPr>
          <w:rFonts w:ascii="Arial" w:cs="Arial" w:eastAsia="Arial" w:hAnsi="Arial"/>
          <w:sz w:val="22"/>
          <w:szCs w:val="22"/>
          <w:b w:val="1"/>
          <w:bCs w:val="1"/>
          <w:color w:val="auto"/>
        </w:rPr>
        <w:t xml:space="preserve">Grant of RSUs.  </w:t>
      </w:r>
      <w:r>
        <w:rPr>
          <w:rFonts w:ascii="Arial" w:cs="Arial" w:eastAsia="Arial" w:hAnsi="Arial"/>
          <w:sz w:val="22"/>
          <w:szCs w:val="22"/>
          <w:color w:val="auto"/>
        </w:rPr>
        <w:t>On the Grant Date, the Participant shall acquire, subject to the provisions of</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this Agreement, the Total Number of RSUs set forth in the Notice. Each Unit represents a right to receive one (1) Share on the applicable vesting date determined in accordance with the Notice and this Agreement.</w:t>
      </w:r>
    </w:p>
    <w:p>
      <w:pPr>
        <w:spacing w:after="0" w:line="164"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3.2</w:t>
      </w:r>
      <w:r>
        <w:rPr>
          <w:sz w:val="20"/>
          <w:szCs w:val="20"/>
          <w:color w:val="auto"/>
        </w:rPr>
        <w:tab/>
      </w:r>
      <w:r>
        <w:rPr>
          <w:rFonts w:ascii="Arial" w:cs="Arial" w:eastAsia="Arial" w:hAnsi="Arial"/>
          <w:sz w:val="21"/>
          <w:szCs w:val="21"/>
          <w:b w:val="1"/>
          <w:bCs w:val="1"/>
          <w:color w:val="auto"/>
        </w:rPr>
        <w:t xml:space="preserve">No Monetary Payment Required. </w:t>
      </w:r>
      <w:r>
        <w:rPr>
          <w:rFonts w:ascii="Arial" w:cs="Arial" w:eastAsia="Arial" w:hAnsi="Arial"/>
          <w:sz w:val="21"/>
          <w:szCs w:val="21"/>
          <w:color w:val="auto"/>
        </w:rPr>
        <w:t>The Participant is not required to make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1041400</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23" w:name="page324"/>
    <w:bookmarkEnd w:id="323"/>
    <w:p>
      <w:pPr>
        <w:jc w:val="both"/>
        <w:spacing w:after="0" w:line="236" w:lineRule="auto"/>
        <w:rPr>
          <w:sz w:val="20"/>
          <w:szCs w:val="20"/>
          <w:color w:val="auto"/>
        </w:rPr>
      </w:pPr>
      <w:r>
        <w:rPr>
          <w:rFonts w:ascii="Arial" w:cs="Arial" w:eastAsia="Arial" w:hAnsi="Arial"/>
          <w:sz w:val="22"/>
          <w:szCs w:val="22"/>
          <w:color w:val="auto"/>
        </w:rPr>
        <w:t>any monetary payment (other than applicable tax withholding, if any) as a condition to receiving the RSUs or Shares issued upon settlement of the RSUs, the consideration for which shall be past services actually rendered and/or future services to be rendered to the Company or for its benefit. Notwithstanding the foregoing, if required by applicable state corporate law, the Participant shall furnish consideration in the form of cash or past services rendered to the Company or for its benefit having a value not less than the par value of the Shares issued upon settlement of the RSUs.</w:t>
      </w:r>
    </w:p>
    <w:p>
      <w:pPr>
        <w:spacing w:after="0" w:line="180" w:lineRule="exact"/>
        <w:rPr>
          <w:sz w:val="20"/>
          <w:szCs w:val="20"/>
          <w:color w:val="auto"/>
        </w:rPr>
      </w:pPr>
    </w:p>
    <w:p>
      <w:pPr>
        <w:ind w:left="1020" w:hanging="263"/>
        <w:spacing w:after="0"/>
        <w:tabs>
          <w:tab w:leader="none" w:pos="1020" w:val="left"/>
        </w:tabs>
        <w:numPr>
          <w:ilvl w:val="0"/>
          <w:numId w:val="287"/>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VESTING OF RSUs</w:t>
      </w:r>
      <w:r>
        <w:rPr>
          <w:rFonts w:ascii="Arial" w:cs="Arial" w:eastAsia="Arial" w:hAnsi="Arial"/>
          <w:sz w:val="22"/>
          <w:szCs w:val="22"/>
          <w:color w:val="auto"/>
        </w:rPr>
        <w:t>.</w:t>
      </w:r>
    </w:p>
    <w:p>
      <w:pPr>
        <w:spacing w:after="0" w:line="217" w:lineRule="exact"/>
        <w:rPr>
          <w:sz w:val="20"/>
          <w:szCs w:val="20"/>
          <w:color w:val="auto"/>
        </w:rPr>
      </w:pPr>
    </w:p>
    <w:p>
      <w:pPr>
        <w:jc w:val="both"/>
        <w:ind w:firstLine="1497"/>
        <w:spacing w:after="0" w:line="256" w:lineRule="auto"/>
        <w:rPr>
          <w:sz w:val="20"/>
          <w:szCs w:val="20"/>
          <w:color w:val="auto"/>
        </w:rPr>
      </w:pPr>
      <w:r>
        <w:rPr>
          <w:rFonts w:ascii="Calibri" w:cs="Calibri" w:eastAsia="Calibri" w:hAnsi="Calibri"/>
          <w:sz w:val="22"/>
          <w:szCs w:val="22"/>
          <w:color w:val="auto"/>
        </w:rPr>
        <w:t xml:space="preserve">4.1 </w:t>
      </w:r>
      <w:r>
        <w:rPr>
          <w:rFonts w:ascii="Arial" w:cs="Arial" w:eastAsia="Arial" w:hAnsi="Arial"/>
          <w:sz w:val="22"/>
          <w:szCs w:val="22"/>
          <w:b w:val="1"/>
          <w:bCs w:val="1"/>
          <w:color w:val="auto"/>
        </w:rPr>
        <w:t>Normal Vesting.</w:t>
      </w:r>
      <w:r>
        <w:rPr>
          <w:rFonts w:ascii="Calibri" w:cs="Calibri" w:eastAsia="Calibri" w:hAnsi="Calibri"/>
          <w:sz w:val="22"/>
          <w:szCs w:val="22"/>
          <w:color w:val="auto"/>
        </w:rPr>
        <w:t xml:space="preserve"> </w:t>
      </w:r>
      <w:r>
        <w:rPr>
          <w:rFonts w:ascii="Arial" w:cs="Arial" w:eastAsia="Arial" w:hAnsi="Arial"/>
          <w:sz w:val="22"/>
          <w:szCs w:val="22"/>
          <w:color w:val="auto"/>
        </w:rPr>
        <w:t>Except as provided by Section 4.2, and provided that the Participant’s</w:t>
      </w:r>
      <w:r>
        <w:rPr>
          <w:rFonts w:ascii="Calibri" w:cs="Calibri" w:eastAsia="Calibri" w:hAnsi="Calibri"/>
          <w:sz w:val="22"/>
          <w:szCs w:val="22"/>
          <w:color w:val="auto"/>
        </w:rPr>
        <w:t xml:space="preserve"> </w:t>
      </w:r>
      <w:r>
        <w:rPr>
          <w:rFonts w:ascii="Arial" w:cs="Arial" w:eastAsia="Arial" w:hAnsi="Arial"/>
          <w:sz w:val="22"/>
          <w:szCs w:val="22"/>
          <w:color w:val="auto"/>
        </w:rPr>
        <w:t>employment has not terminated prior to the relevant date, the RSUs shall vest as provided in the Notice.</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4.2</w:t>
      </w:r>
      <w:r>
        <w:rPr>
          <w:sz w:val="20"/>
          <w:szCs w:val="20"/>
          <w:color w:val="auto"/>
        </w:rPr>
        <w:tab/>
      </w:r>
      <w:r>
        <w:rPr>
          <w:rFonts w:ascii="Arial" w:cs="Arial" w:eastAsia="Arial" w:hAnsi="Arial"/>
          <w:sz w:val="21"/>
          <w:szCs w:val="21"/>
          <w:b w:val="1"/>
          <w:bCs w:val="1"/>
          <w:color w:val="auto"/>
        </w:rPr>
        <w:t>Acceleration of Vesting Upon Certain Terminations</w:t>
      </w:r>
      <w:r>
        <w:rPr>
          <w:rFonts w:ascii="Arial" w:cs="Arial" w:eastAsia="Arial" w:hAnsi="Arial"/>
          <w:sz w:val="21"/>
          <w:szCs w:val="21"/>
          <w:color w:val="auto"/>
        </w:rPr>
        <w:t>. If the Participant’s employment with the</w:t>
      </w:r>
    </w:p>
    <w:p>
      <w:pPr>
        <w:spacing w:after="0" w:line="34"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Company is terminated at any time as a result of the Participant’s death or Disability (as defined below), any unvested RSUs shall vest immediately. Additionally, if, prior to the Vesting Date, the Participant’s employment with the Company is terminated (i) by the Company without Cause (as defined below), (ii) due to a permanent President and Chief Executive Officer of the Company commencing employment or (iii) by the Participant for Good Reason (as defined below) following a Change in Control (as defined below), then, subject to the Participant’s execution and non-revocation of a release of claims in accordance with the offer letter between the Company and the Participant, dated as of May 7, 2025 (the “</w:t>
      </w:r>
      <w:r>
        <w:rPr>
          <w:rFonts w:ascii="Arial" w:cs="Arial" w:eastAsia="Arial" w:hAnsi="Arial"/>
          <w:sz w:val="22"/>
          <w:szCs w:val="22"/>
          <w:b w:val="1"/>
          <w:bCs w:val="1"/>
          <w:i w:val="1"/>
          <w:iCs w:val="1"/>
          <w:color w:val="auto"/>
        </w:rPr>
        <w:t>Offer Letter</w:t>
      </w:r>
      <w:r>
        <w:rPr>
          <w:rFonts w:ascii="Arial" w:cs="Arial" w:eastAsia="Arial" w:hAnsi="Arial"/>
          <w:sz w:val="22"/>
          <w:szCs w:val="22"/>
          <w:color w:val="auto"/>
        </w:rPr>
        <w:t>”), a pro- rata portion of the Award shall vest based on the number of days the Participant has been employed from the Grant Date to the date of termination.</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following terms used in this Section 4.2 shall have the following meanings: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shall have the meaning set forth in the Offer Letter.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have the meaning set forth in the Plan.</w:t>
      </w:r>
    </w:p>
    <w:p>
      <w:pPr>
        <w:spacing w:after="0" w:line="206"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shall mean the permanent and total disability of the Participant within the meaning of Section 22(e)(3) of the Code.</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shall have the meaning set forth in the Offer Letter.</w:t>
      </w:r>
    </w:p>
    <w:p>
      <w:pPr>
        <w:spacing w:after="0" w:line="204" w:lineRule="exact"/>
        <w:rPr>
          <w:sz w:val="20"/>
          <w:szCs w:val="20"/>
          <w:color w:val="auto"/>
        </w:rPr>
      </w:pPr>
    </w:p>
    <w:p>
      <w:pPr>
        <w:ind w:left="1020" w:hanging="263"/>
        <w:spacing w:after="0"/>
        <w:tabs>
          <w:tab w:leader="none" w:pos="1020" w:val="left"/>
        </w:tabs>
        <w:numPr>
          <w:ilvl w:val="0"/>
          <w:numId w:val="288"/>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DIVIDENDS CREDITED ON THE RESTRICTED SHARE UNITS</w:t>
      </w:r>
      <w:r>
        <w:rPr>
          <w:rFonts w:ascii="Arial" w:cs="Arial" w:eastAsia="Arial" w:hAnsi="Arial"/>
          <w:sz w:val="22"/>
          <w:szCs w:val="22"/>
          <w:b w:val="1"/>
          <w:bCs w:val="1"/>
          <w:color w:val="auto"/>
        </w:rPr>
        <w:t>.</w:t>
      </w:r>
    </w:p>
    <w:p>
      <w:pPr>
        <w:spacing w:after="0" w:line="209"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5.1</w:t>
      </w:r>
      <w:r>
        <w:rPr>
          <w:sz w:val="20"/>
          <w:szCs w:val="20"/>
          <w:color w:val="auto"/>
        </w:rPr>
        <w:tab/>
      </w:r>
      <w:r>
        <w:rPr>
          <w:rFonts w:ascii="Arial" w:cs="Arial" w:eastAsia="Arial" w:hAnsi="Arial"/>
          <w:sz w:val="21"/>
          <w:szCs w:val="21"/>
          <w:color w:val="auto"/>
        </w:rPr>
        <w:t>The RSUs will earn dividend equivalents in the form of additional RSUs. Specifically, as of each</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dividend payment date for Company common stock during the period beginning on the Grant Date and ending on the Vesting Date, the Participant’s account will be credited with additional RSUs (“</w:t>
      </w:r>
      <w:r>
        <w:rPr>
          <w:rFonts w:ascii="Arial" w:cs="Arial" w:eastAsia="Arial" w:hAnsi="Arial"/>
          <w:sz w:val="21"/>
          <w:szCs w:val="21"/>
          <w:b w:val="1"/>
          <w:bCs w:val="1"/>
          <w:i w:val="1"/>
          <w:iCs w:val="1"/>
          <w:color w:val="auto"/>
        </w:rPr>
        <w:t>Dividend Equivalent RSUs</w:t>
      </w:r>
      <w:r>
        <w:rPr>
          <w:rFonts w:ascii="Arial" w:cs="Arial" w:eastAsia="Arial" w:hAnsi="Arial"/>
          <w:sz w:val="21"/>
          <w:szCs w:val="21"/>
          <w:color w:val="auto"/>
        </w:rPr>
        <w:t>”) equal in number to the number of Shares that could be bought with the cash dividends that would be paid on the RSUs if each of the unvested RSUs was a Share, rounded to a whole number of Dividend Equivalent RSUs using normal rounding.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4" w:name="page325"/>
    <w:bookmarkEnd w:id="324"/>
    <w:p>
      <w:pPr>
        <w:ind w:left="1500"/>
        <w:spacing w:after="0"/>
        <w:tabs>
          <w:tab w:leader="none" w:pos="2020" w:val="left"/>
        </w:tabs>
        <w:rPr>
          <w:sz w:val="20"/>
          <w:szCs w:val="20"/>
          <w:color w:val="auto"/>
        </w:rPr>
      </w:pPr>
      <w:r>
        <w:rPr>
          <w:rFonts w:ascii="Calibri" w:cs="Calibri" w:eastAsia="Calibri" w:hAnsi="Calibri"/>
          <w:sz w:val="22"/>
          <w:szCs w:val="22"/>
          <w:color w:val="auto"/>
        </w:rPr>
        <w:t>5.2</w:t>
      </w:r>
      <w:r>
        <w:rPr>
          <w:sz w:val="20"/>
          <w:szCs w:val="20"/>
          <w:color w:val="auto"/>
        </w:rPr>
        <w:tab/>
      </w:r>
      <w:r>
        <w:rPr>
          <w:rFonts w:ascii="Arial" w:cs="Arial" w:eastAsia="Arial" w:hAnsi="Arial"/>
          <w:sz w:val="21"/>
          <w:szCs w:val="21"/>
          <w:color w:val="auto"/>
        </w:rPr>
        <w:t>The number of Shares that could be bought with the cash dividends will be calculated based on</w:t>
      </w:r>
    </w:p>
    <w:p>
      <w:pPr>
        <w:spacing w:after="0" w:line="2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Fair Market Value (as defined below) of Company common stock on the applicable dividend payment date. For purposes of this Agreement, “</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means the average of the high and the low per Share trading prices for Company common stock as reported in The Wall Street Journal for the specific dividend payment date, or in such other source as the Company deems reliable.</w:t>
      </w:r>
    </w:p>
    <w:p>
      <w:pPr>
        <w:spacing w:after="0" w:line="180" w:lineRule="exact"/>
        <w:rPr>
          <w:sz w:val="20"/>
          <w:szCs w:val="20"/>
          <w:color w:val="auto"/>
        </w:rPr>
      </w:pPr>
    </w:p>
    <w:p>
      <w:pPr>
        <w:jc w:val="both"/>
        <w:ind w:firstLine="1497"/>
        <w:spacing w:after="0" w:line="254" w:lineRule="auto"/>
        <w:rPr>
          <w:sz w:val="20"/>
          <w:szCs w:val="20"/>
          <w:color w:val="auto"/>
        </w:rPr>
      </w:pPr>
      <w:r>
        <w:rPr>
          <w:rFonts w:ascii="Calibri" w:cs="Calibri" w:eastAsia="Calibri" w:hAnsi="Calibri"/>
          <w:sz w:val="22"/>
          <w:szCs w:val="22"/>
          <w:color w:val="auto"/>
        </w:rPr>
        <w:t xml:space="preserve">5.3 </w:t>
      </w:r>
      <w:r>
        <w:rPr>
          <w:rFonts w:ascii="Arial" w:cs="Arial" w:eastAsia="Arial" w:hAnsi="Arial"/>
          <w:sz w:val="22"/>
          <w:szCs w:val="22"/>
          <w:color w:val="auto"/>
        </w:rPr>
        <w:t>Dividend Equivalent RSUs will vest at the same time and in the same manner as the RSUs with</w:t>
      </w:r>
      <w:r>
        <w:rPr>
          <w:rFonts w:ascii="Calibri" w:cs="Calibri" w:eastAsia="Calibri" w:hAnsi="Calibri"/>
          <w:sz w:val="22"/>
          <w:szCs w:val="22"/>
          <w:color w:val="auto"/>
        </w:rPr>
        <w:t xml:space="preserve"> </w:t>
      </w:r>
      <w:r>
        <w:rPr>
          <w:rFonts w:ascii="Arial" w:cs="Arial" w:eastAsia="Arial" w:hAnsi="Arial"/>
          <w:sz w:val="22"/>
          <w:szCs w:val="22"/>
          <w:color w:val="auto"/>
        </w:rPr>
        <w:t>which they are associated.</w:t>
      </w:r>
    </w:p>
    <w:p>
      <w:pPr>
        <w:spacing w:after="0" w:line="159" w:lineRule="exact"/>
        <w:rPr>
          <w:sz w:val="20"/>
          <w:szCs w:val="20"/>
          <w:color w:val="auto"/>
        </w:rPr>
      </w:pPr>
    </w:p>
    <w:p>
      <w:pPr>
        <w:ind w:left="1500" w:hanging="743"/>
        <w:spacing w:after="0"/>
        <w:tabs>
          <w:tab w:leader="none" w:pos="1500" w:val="left"/>
        </w:tabs>
        <w:numPr>
          <w:ilvl w:val="0"/>
          <w:numId w:val="289"/>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SETTLEMENT OF THE AWARD; FORFEITURE AND CLAWBACK</w:t>
      </w:r>
      <w:r>
        <w:rPr>
          <w:rFonts w:ascii="Arial" w:cs="Arial" w:eastAsia="Arial" w:hAnsi="Arial"/>
          <w:sz w:val="22"/>
          <w:szCs w:val="22"/>
          <w:b w:val="1"/>
          <w:bCs w:val="1"/>
          <w:color w:val="auto"/>
        </w:rPr>
        <w:t>.</w:t>
      </w:r>
    </w:p>
    <w:p>
      <w:pPr>
        <w:spacing w:after="0" w:line="207"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6.1</w:t>
      </w:r>
      <w:r>
        <w:rPr>
          <w:sz w:val="20"/>
          <w:szCs w:val="20"/>
          <w:color w:val="auto"/>
        </w:rPr>
        <w:tab/>
      </w:r>
      <w:r>
        <w:rPr>
          <w:rFonts w:ascii="Arial" w:cs="Arial" w:eastAsia="Arial" w:hAnsi="Arial"/>
          <w:sz w:val="21"/>
          <w:szCs w:val="21"/>
          <w:b w:val="1"/>
          <w:bCs w:val="1"/>
          <w:color w:val="auto"/>
        </w:rPr>
        <w:t>Issuance of Shares</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Subject to the provisions of Section 6.3 and Section 7, promptly following</w:t>
      </w:r>
    </w:p>
    <w:p>
      <w:pPr>
        <w:spacing w:after="0" w:line="3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Vesting Date, the Company shall issue to the Participant in settlement of the RSUs that vested on such Vesting Date, the number of Shares equal to one (1) Share for each RSU that vests on such Vesting Date. The Participant understands and agrees that the administration of the issuance of Shares may take up to 15 days following the Vesting Date.</w:t>
      </w:r>
    </w:p>
    <w:p>
      <w:pPr>
        <w:spacing w:after="0" w:line="163" w:lineRule="exact"/>
        <w:rPr>
          <w:sz w:val="20"/>
          <w:szCs w:val="20"/>
          <w:color w:val="auto"/>
        </w:rPr>
      </w:pPr>
    </w:p>
    <w:p>
      <w:pPr>
        <w:ind w:left="1500"/>
        <w:spacing w:after="0"/>
        <w:tabs>
          <w:tab w:leader="none" w:pos="2020" w:val="left"/>
        </w:tabs>
        <w:rPr>
          <w:sz w:val="20"/>
          <w:szCs w:val="20"/>
          <w:color w:val="auto"/>
        </w:rPr>
      </w:pPr>
      <w:r>
        <w:rPr>
          <w:rFonts w:ascii="Calibri" w:cs="Calibri" w:eastAsia="Calibri" w:hAnsi="Calibri"/>
          <w:sz w:val="22"/>
          <w:szCs w:val="22"/>
          <w:color w:val="auto"/>
        </w:rPr>
        <w:t>6.2</w:t>
      </w:r>
      <w:r>
        <w:rPr>
          <w:sz w:val="20"/>
          <w:szCs w:val="20"/>
          <w:color w:val="auto"/>
        </w:rPr>
        <w:tab/>
      </w:r>
      <w:r>
        <w:rPr>
          <w:rFonts w:ascii="Arial" w:cs="Arial" w:eastAsia="Arial" w:hAnsi="Arial"/>
          <w:sz w:val="21"/>
          <w:szCs w:val="21"/>
          <w:b w:val="1"/>
          <w:bCs w:val="1"/>
          <w:color w:val="auto"/>
        </w:rPr>
        <w:t>Mechanics of Issuance of Shares</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Participant hereby authorizes the Company, in its sole</w:t>
      </w:r>
    </w:p>
    <w:p>
      <w:pPr>
        <w:spacing w:after="0" w:line="3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discretion, to deposit for the benefit of the Participant with any broker that administers the Company’s equity award plans any or all Shares acquired by the Participant pursuant to the settlement of the Award.</w:t>
      </w:r>
    </w:p>
    <w:p>
      <w:pPr>
        <w:spacing w:after="0" w:line="162" w:lineRule="exact"/>
        <w:rPr>
          <w:sz w:val="20"/>
          <w:szCs w:val="20"/>
          <w:color w:val="auto"/>
        </w:rPr>
      </w:pPr>
    </w:p>
    <w:p>
      <w:pPr>
        <w:ind w:left="1500"/>
        <w:spacing w:after="0"/>
        <w:tabs>
          <w:tab w:leader="none" w:pos="2020" w:val="left"/>
          <w:tab w:leader="none" w:pos="5760" w:val="left"/>
        </w:tabs>
        <w:rPr>
          <w:sz w:val="20"/>
          <w:szCs w:val="20"/>
          <w:color w:val="auto"/>
        </w:rPr>
      </w:pPr>
      <w:r>
        <w:rPr>
          <w:rFonts w:ascii="Calibri" w:cs="Calibri" w:eastAsia="Calibri" w:hAnsi="Calibri"/>
          <w:sz w:val="22"/>
          <w:szCs w:val="22"/>
          <w:color w:val="auto"/>
        </w:rPr>
        <w:t>6.3</w:t>
      </w:r>
      <w:r>
        <w:rPr>
          <w:sz w:val="20"/>
          <w:szCs w:val="20"/>
          <w:color w:val="auto"/>
        </w:rPr>
        <w:tab/>
      </w:r>
      <w:r>
        <w:rPr>
          <w:rFonts w:ascii="Arial" w:cs="Arial" w:eastAsia="Arial" w:hAnsi="Arial"/>
          <w:sz w:val="22"/>
          <w:szCs w:val="22"/>
          <w:b w:val="1"/>
          <w:bCs w:val="1"/>
          <w:color w:val="auto"/>
        </w:rPr>
        <w:t>Securities Laws and Other Laws</w:t>
      </w:r>
      <w:r>
        <w:rPr>
          <w:rFonts w:ascii="Arial" w:cs="Arial" w:eastAsia="Arial" w:hAnsi="Arial"/>
          <w:sz w:val="22"/>
          <w:szCs w:val="22"/>
          <w:i w:val="1"/>
          <w:iCs w:val="1"/>
          <w:color w:val="auto"/>
        </w:rPr>
        <w:t>.</w:t>
      </w:r>
      <w:r>
        <w:rPr>
          <w:sz w:val="20"/>
          <w:szCs w:val="20"/>
          <w:color w:val="auto"/>
        </w:rPr>
        <w:tab/>
      </w:r>
      <w:r>
        <w:rPr>
          <w:rFonts w:ascii="Arial" w:cs="Arial" w:eastAsia="Arial" w:hAnsi="Arial"/>
          <w:sz w:val="22"/>
          <w:szCs w:val="22"/>
          <w:color w:val="auto"/>
        </w:rPr>
        <w:t>The grant of the Award and issuance of Shares upon</w:t>
      </w:r>
    </w:p>
    <w:p>
      <w:pPr>
        <w:spacing w:after="0" w:line="3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settlement of the Award shall be subject to compliance with all applicable requirements of federal, state or foreign law, including securities laws and regulations.</w:t>
      </w:r>
    </w:p>
    <w:p>
      <w:pPr>
        <w:spacing w:after="0" w:line="164" w:lineRule="exact"/>
        <w:rPr>
          <w:sz w:val="20"/>
          <w:szCs w:val="20"/>
          <w:color w:val="auto"/>
        </w:rPr>
      </w:pPr>
    </w:p>
    <w:p>
      <w:pPr>
        <w:ind w:left="1500"/>
        <w:spacing w:after="0"/>
        <w:tabs>
          <w:tab w:leader="none" w:pos="2020" w:val="left"/>
          <w:tab w:leader="none" w:pos="4920" w:val="left"/>
        </w:tabs>
        <w:rPr>
          <w:sz w:val="20"/>
          <w:szCs w:val="20"/>
          <w:color w:val="auto"/>
        </w:rPr>
      </w:pPr>
      <w:r>
        <w:rPr>
          <w:rFonts w:ascii="Calibri" w:cs="Calibri" w:eastAsia="Calibri" w:hAnsi="Calibri"/>
          <w:sz w:val="22"/>
          <w:szCs w:val="22"/>
          <w:color w:val="auto"/>
        </w:rPr>
        <w:t>6.4</w:t>
      </w:r>
      <w:r>
        <w:rPr>
          <w:sz w:val="20"/>
          <w:szCs w:val="20"/>
          <w:color w:val="auto"/>
        </w:rPr>
        <w:tab/>
      </w:r>
      <w:r>
        <w:rPr>
          <w:rFonts w:ascii="Arial" w:cs="Arial" w:eastAsia="Arial" w:hAnsi="Arial"/>
          <w:sz w:val="22"/>
          <w:szCs w:val="22"/>
          <w:b w:val="1"/>
          <w:bCs w:val="1"/>
          <w:color w:val="auto"/>
        </w:rPr>
        <w:t>Forfeiture and Clawback</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In the event the Participant breaches the Confidentiality, Non-</w:t>
      </w:r>
    </w:p>
    <w:p>
      <w:pPr>
        <w:spacing w:after="0" w:line="3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Interference, and Invention Assignment Agreement between the Company and the Participant, dated as of May 7, 2025, then the Company shall have the right to (a) deem all RSUs which have not vested to be canceled and rescinded, and forfeited by the Participant, and (b) require the Participant to return to the Company any Shares issued to the Participant upon settlement of the RSUs during the two (2) years prior to such breach and pay to the Company any proceeds realized as a result of the Participant’s sale of Shares issued to the Participant upon settlement of the RSUs during the two (2) years prior to such breach, in each case within thirty (30) days following the Company’s request for such return or payment.</w:t>
      </w:r>
    </w:p>
    <w:p>
      <w:pPr>
        <w:spacing w:after="0" w:line="176" w:lineRule="exact"/>
        <w:rPr>
          <w:sz w:val="20"/>
          <w:szCs w:val="20"/>
          <w:color w:val="auto"/>
        </w:rPr>
      </w:pPr>
    </w:p>
    <w:p>
      <w:pPr>
        <w:ind w:left="1020" w:hanging="263"/>
        <w:spacing w:after="0"/>
        <w:tabs>
          <w:tab w:leader="none" w:pos="1020" w:val="left"/>
        </w:tabs>
        <w:numPr>
          <w:ilvl w:val="0"/>
          <w:numId w:val="290"/>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AUTOMATIC WITHHOLDING OF SHARES</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The Company shall automatically satisfy all federal, state, local and foreign tax (including any social insurance) withholding obligations of the Company (or its Affiliate or Subsidiary) that arise in connection with the vesting and settlement of RSUs on a relevant date (the “</w:t>
      </w:r>
      <w:r>
        <w:rPr>
          <w:rFonts w:ascii="Arial" w:cs="Arial" w:eastAsia="Arial" w:hAnsi="Arial"/>
          <w:sz w:val="22"/>
          <w:szCs w:val="22"/>
          <w:b w:val="1"/>
          <w:bCs w:val="1"/>
          <w:i w:val="1"/>
          <w:iCs w:val="1"/>
          <w:color w:val="auto"/>
        </w:rPr>
        <w:t>Tax Withholding Obligations</w:t>
      </w:r>
      <w:r>
        <w:rPr>
          <w:rFonts w:ascii="Arial" w:cs="Arial" w:eastAsia="Arial" w:hAnsi="Arial"/>
          <w:sz w:val="22"/>
          <w:szCs w:val="22"/>
          <w:color w:val="auto"/>
        </w:rPr>
        <w:t>”) by deducting from the Shares otherwise deliverable to the Participant in settlement of the Award on such date a number of whole Shares having a fair market value, as determined by the Company as of such date, equal to the amount of such Tax</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6" w:right="339" w:bottom="1440" w:gutter="0" w:footer="0" w:header="0"/>
        </w:sectPr>
      </w:pPr>
    </w:p>
    <w:bookmarkStart w:id="325" w:name="page326"/>
    <w:bookmarkEnd w:id="325"/>
    <w:p>
      <w:pPr>
        <w:jc w:val="both"/>
        <w:spacing w:after="0" w:line="247" w:lineRule="auto"/>
        <w:rPr>
          <w:sz w:val="20"/>
          <w:szCs w:val="20"/>
          <w:color w:val="auto"/>
        </w:rPr>
      </w:pPr>
      <w:r>
        <w:rPr>
          <w:rFonts w:ascii="Arial" w:cs="Arial" w:eastAsia="Arial" w:hAnsi="Arial"/>
          <w:sz w:val="21"/>
          <w:szCs w:val="21"/>
          <w:color w:val="auto"/>
        </w:rPr>
        <w:t>Withholding Obligations. Notwithstanding the preceding sentence, this Section 7 shall not be construed as creating any irrevocable right for the Participant to enforce such automatic net settlement, and the Compensation Committee retains the right, and the right of the Board, to revoke such automatic net settlement at any time and without consent of the Participant until the time the applicable Tax Withholding Liabilities arise in connection with the vesting and settlement of the Award. In the event the Compensation Committee or the Board revokes the automatic net settlement in accordance with the preceding sentence, the Participant hereby authorizes withholding from payroll and any other amounts payable to the Participant, and otherwise agrees to make adequate provision for, any sums required to satisfy the Tax Withholding Obligations that arise in connection with the vesting and settlement of RSUs.</w:t>
      </w:r>
    </w:p>
    <w:p>
      <w:pPr>
        <w:spacing w:after="0" w:line="170" w:lineRule="exact"/>
        <w:rPr>
          <w:sz w:val="20"/>
          <w:szCs w:val="20"/>
          <w:color w:val="auto"/>
        </w:rPr>
      </w:pPr>
    </w:p>
    <w:p>
      <w:pPr>
        <w:ind w:left="1020" w:hanging="263"/>
        <w:spacing w:after="0"/>
        <w:tabs>
          <w:tab w:leader="none" w:pos="1020" w:val="left"/>
        </w:tabs>
        <w:numPr>
          <w:ilvl w:val="0"/>
          <w:numId w:val="291"/>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ADJUSTMENTS FOR CHANGES IN CAPITAL STRUCTURE</w:t>
      </w:r>
      <w:r>
        <w:rPr>
          <w:rFonts w:ascii="Arial" w:cs="Arial" w:eastAsia="Arial" w:hAnsi="Arial"/>
          <w:sz w:val="22"/>
          <w:szCs w:val="22"/>
          <w:b w:val="1"/>
          <w:bCs w:val="1"/>
          <w:color w:val="auto"/>
        </w:rPr>
        <w:t>.</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The Compensation Committee may make adjustments in accordance with Section 4(e) of the Plan.</w:t>
      </w:r>
    </w:p>
    <w:p>
      <w:pPr>
        <w:spacing w:after="0" w:line="204" w:lineRule="exact"/>
        <w:rPr>
          <w:sz w:val="20"/>
          <w:szCs w:val="20"/>
          <w:color w:val="auto"/>
        </w:rPr>
      </w:pPr>
    </w:p>
    <w:p>
      <w:pPr>
        <w:ind w:left="1020" w:hanging="263"/>
        <w:spacing w:after="0"/>
        <w:tabs>
          <w:tab w:leader="none" w:pos="1020" w:val="left"/>
        </w:tabs>
        <w:numPr>
          <w:ilvl w:val="0"/>
          <w:numId w:val="292"/>
        </w:numPr>
        <w:rPr>
          <w:rFonts w:ascii="Calibri" w:cs="Calibri" w:eastAsia="Calibri" w:hAnsi="Calibri"/>
          <w:sz w:val="22"/>
          <w:szCs w:val="22"/>
          <w:color w:val="auto"/>
        </w:rPr>
      </w:pPr>
      <w:r>
        <w:rPr>
          <w:rFonts w:ascii="Arial" w:cs="Arial" w:eastAsia="Arial" w:hAnsi="Arial"/>
          <w:sz w:val="22"/>
          <w:szCs w:val="22"/>
          <w:b w:val="1"/>
          <w:bCs w:val="1"/>
          <w:u w:val="single" w:color="auto"/>
          <w:color w:val="auto"/>
        </w:rPr>
        <w:t>NO RIGHTS AS A SHAREHOLDER OR EMPLOYEE</w:t>
      </w:r>
      <w:r>
        <w:rPr>
          <w:rFonts w:ascii="Arial" w:cs="Arial" w:eastAsia="Arial" w:hAnsi="Arial"/>
          <w:sz w:val="22"/>
          <w:szCs w:val="22"/>
          <w:b w:val="1"/>
          <w:bCs w:val="1"/>
          <w:color w:val="auto"/>
        </w:rPr>
        <w:t>.</w:t>
      </w:r>
    </w:p>
    <w:p>
      <w:pPr>
        <w:spacing w:after="0" w:line="219" w:lineRule="exact"/>
        <w:rPr>
          <w:sz w:val="20"/>
          <w:szCs w:val="20"/>
          <w:color w:val="auto"/>
        </w:rPr>
      </w:pPr>
    </w:p>
    <w:p>
      <w:pPr>
        <w:jc w:val="both"/>
        <w:ind w:firstLine="1497"/>
        <w:spacing w:after="0" w:line="235" w:lineRule="auto"/>
        <w:rPr>
          <w:sz w:val="20"/>
          <w:szCs w:val="20"/>
          <w:color w:val="auto"/>
        </w:rPr>
      </w:pPr>
      <w:r>
        <w:rPr>
          <w:rFonts w:ascii="Arial" w:cs="Arial" w:eastAsia="Arial" w:hAnsi="Arial"/>
          <w:sz w:val="22"/>
          <w:szCs w:val="22"/>
          <w:color w:val="auto"/>
        </w:rPr>
        <w:t>The Participant shall have no rights as a shareholder with respect to any RSUs until the date of the issuance of the Shares in settlement thereof. No adjustment shall be made for dividends, distributions or other rights for which the record date is prior to the date the Shares are issued, except as provided in Sections 5 and 8. The Participant understands and acknowledges that, except as otherwise provided in a separate, written employment agreement between the Company and the Participant, the Participant’s employment is “at will” and is for no specified term. Nothing in this Agreement shall confer upon the Participant any right to continue in the employment of the Company or any Subsidiary or interfere in any way with any right of such entities to terminate the Participant’s employment at any time.</w:t>
      </w:r>
    </w:p>
    <w:p>
      <w:pPr>
        <w:spacing w:after="0" w:line="176" w:lineRule="exact"/>
        <w:rPr>
          <w:sz w:val="20"/>
          <w:szCs w:val="20"/>
          <w:color w:val="auto"/>
        </w:rPr>
      </w:pPr>
    </w:p>
    <w:p>
      <w:pPr>
        <w:ind w:left="760"/>
        <w:spacing w:after="0"/>
        <w:rPr>
          <w:sz w:val="20"/>
          <w:szCs w:val="20"/>
          <w:color w:val="auto"/>
        </w:rPr>
      </w:pPr>
      <w:r>
        <w:rPr>
          <w:rFonts w:ascii="Calibri" w:cs="Calibri" w:eastAsia="Calibri" w:hAnsi="Calibri"/>
          <w:sz w:val="22"/>
          <w:szCs w:val="22"/>
          <w:color w:val="auto"/>
        </w:rPr>
        <w:t>10.</w:t>
      </w:r>
      <w:r>
        <w:rPr>
          <w:rFonts w:ascii="Arial" w:cs="Arial" w:eastAsia="Arial" w:hAnsi="Arial"/>
          <w:sz w:val="22"/>
          <w:szCs w:val="22"/>
          <w:b w:val="1"/>
          <w:bCs w:val="1"/>
          <w:u w:val="single" w:color="auto"/>
          <w:color w:val="auto"/>
        </w:rPr>
        <w:t>MISCELLANEOUS PROVISIONS</w:t>
      </w:r>
      <w:r>
        <w:rPr>
          <w:rFonts w:ascii="Arial" w:cs="Arial" w:eastAsia="Arial" w:hAnsi="Arial"/>
          <w:sz w:val="22"/>
          <w:szCs w:val="22"/>
          <w:b w:val="1"/>
          <w:bCs w:val="1"/>
          <w:color w:val="auto"/>
        </w:rPr>
        <w:t>.</w:t>
      </w:r>
    </w:p>
    <w:p>
      <w:pPr>
        <w:spacing w:after="0" w:line="217"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10.1  </w:t>
      </w:r>
      <w:r>
        <w:rPr>
          <w:rFonts w:ascii="Arial" w:cs="Arial" w:eastAsia="Arial" w:hAnsi="Arial"/>
          <w:sz w:val="22"/>
          <w:szCs w:val="22"/>
          <w:b w:val="1"/>
          <w:bCs w:val="1"/>
          <w:color w:val="auto"/>
        </w:rPr>
        <w:t>Termination or Amendment.</w:t>
      </w:r>
      <w:r>
        <w:rPr>
          <w:rFonts w:ascii="Calibri" w:cs="Calibri" w:eastAsia="Calibri" w:hAnsi="Calibri"/>
          <w:sz w:val="22"/>
          <w:szCs w:val="22"/>
          <w:color w:val="auto"/>
        </w:rPr>
        <w:t xml:space="preserve"> </w:t>
      </w:r>
      <w:r>
        <w:rPr>
          <w:rFonts w:ascii="Arial" w:cs="Arial" w:eastAsia="Arial" w:hAnsi="Arial"/>
          <w:sz w:val="22"/>
          <w:szCs w:val="22"/>
          <w:color w:val="auto"/>
        </w:rPr>
        <w:t>The Board may terminate or amend the Plan or this Agreement</w:t>
      </w:r>
    </w:p>
    <w:p>
      <w:pPr>
        <w:spacing w:after="0" w:line="23" w:lineRule="exact"/>
        <w:rPr>
          <w:sz w:val="20"/>
          <w:szCs w:val="20"/>
          <w:color w:val="auto"/>
        </w:rPr>
      </w:pPr>
    </w:p>
    <w:p>
      <w:pPr>
        <w:jc w:val="both"/>
        <w:ind w:right="20"/>
        <w:spacing w:after="0" w:line="235" w:lineRule="auto"/>
        <w:rPr>
          <w:sz w:val="20"/>
          <w:szCs w:val="20"/>
          <w:color w:val="auto"/>
        </w:rPr>
      </w:pPr>
      <w:r>
        <w:rPr>
          <w:rFonts w:ascii="Arial" w:cs="Arial" w:eastAsia="Arial" w:hAnsi="Arial"/>
          <w:sz w:val="22"/>
          <w:szCs w:val="22"/>
          <w:color w:val="auto"/>
        </w:rPr>
        <w:t>at any time; provided, however, that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of the Code. No amendment or addition to this Agreement shall be effective unless in writing.</w:t>
      </w:r>
    </w:p>
    <w:p>
      <w:pPr>
        <w:spacing w:after="0" w:line="175"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10.2  </w:t>
      </w:r>
      <w:r>
        <w:rPr>
          <w:rFonts w:ascii="Arial" w:cs="Arial" w:eastAsia="Arial" w:hAnsi="Arial"/>
          <w:sz w:val="22"/>
          <w:szCs w:val="22"/>
          <w:b w:val="1"/>
          <w:bCs w:val="1"/>
          <w:color w:val="auto"/>
        </w:rPr>
        <w:t>Nontransferability of the Award.</w:t>
      </w:r>
      <w:r>
        <w:rPr>
          <w:rFonts w:ascii="Calibri" w:cs="Calibri" w:eastAsia="Calibri" w:hAnsi="Calibri"/>
          <w:sz w:val="22"/>
          <w:szCs w:val="22"/>
          <w:color w:val="auto"/>
        </w:rPr>
        <w:t xml:space="preserve"> </w:t>
      </w:r>
      <w:r>
        <w:rPr>
          <w:rFonts w:ascii="Arial" w:cs="Arial" w:eastAsia="Arial" w:hAnsi="Arial"/>
          <w:sz w:val="22"/>
          <w:szCs w:val="22"/>
          <w:color w:val="auto"/>
        </w:rPr>
        <w:t>Prior to the issuance of Shares on settlement of the Award,</w:t>
      </w:r>
    </w:p>
    <w:p>
      <w:pPr>
        <w:spacing w:after="0" w:line="2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neither this Award nor any RSUs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6" w:name="page327"/>
    <w:bookmarkEnd w:id="326"/>
    <w:p>
      <w:pPr>
        <w:jc w:val="both"/>
        <w:ind w:firstLine="1497"/>
        <w:spacing w:after="0" w:line="256" w:lineRule="auto"/>
        <w:rPr>
          <w:sz w:val="20"/>
          <w:szCs w:val="20"/>
          <w:color w:val="auto"/>
        </w:rPr>
      </w:pPr>
      <w:r>
        <w:rPr>
          <w:rFonts w:ascii="Calibri" w:cs="Calibri" w:eastAsia="Calibri" w:hAnsi="Calibri"/>
          <w:sz w:val="22"/>
          <w:szCs w:val="22"/>
          <w:color w:val="auto"/>
        </w:rPr>
        <w:t xml:space="preserve">10.3 </w:t>
      </w:r>
      <w:r>
        <w:rPr>
          <w:rFonts w:ascii="Arial" w:cs="Arial" w:eastAsia="Arial" w:hAnsi="Arial"/>
          <w:sz w:val="22"/>
          <w:szCs w:val="22"/>
          <w:b w:val="1"/>
          <w:bCs w:val="1"/>
          <w:color w:val="auto"/>
        </w:rPr>
        <w:t>Further Instruments.</w:t>
      </w:r>
      <w:r>
        <w:rPr>
          <w:rFonts w:ascii="Calibri" w:cs="Calibri" w:eastAsia="Calibri" w:hAnsi="Calibri"/>
          <w:sz w:val="22"/>
          <w:szCs w:val="22"/>
          <w:color w:val="auto"/>
        </w:rPr>
        <w:t xml:space="preserve"> </w:t>
      </w:r>
      <w:r>
        <w:rPr>
          <w:rFonts w:ascii="Arial" w:cs="Arial" w:eastAsia="Arial" w:hAnsi="Arial"/>
          <w:sz w:val="22"/>
          <w:szCs w:val="22"/>
          <w:color w:val="auto"/>
        </w:rPr>
        <w:t>The parties hereto agree to execute such further instruments and to take</w:t>
      </w:r>
      <w:r>
        <w:rPr>
          <w:rFonts w:ascii="Calibri" w:cs="Calibri" w:eastAsia="Calibri" w:hAnsi="Calibri"/>
          <w:sz w:val="22"/>
          <w:szCs w:val="22"/>
          <w:color w:val="auto"/>
        </w:rPr>
        <w:t xml:space="preserve"> </w:t>
      </w:r>
      <w:r>
        <w:rPr>
          <w:rFonts w:ascii="Arial" w:cs="Arial" w:eastAsia="Arial" w:hAnsi="Arial"/>
          <w:sz w:val="22"/>
          <w:szCs w:val="22"/>
          <w:color w:val="auto"/>
        </w:rPr>
        <w:t>such further action as may reasonably be necessary to carry out the intent of this Agreement.</w:t>
      </w:r>
    </w:p>
    <w:p>
      <w:pPr>
        <w:spacing w:after="0" w:line="156"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10.4  </w:t>
      </w:r>
      <w:r>
        <w:rPr>
          <w:rFonts w:ascii="Arial" w:cs="Arial" w:eastAsia="Arial" w:hAnsi="Arial"/>
          <w:sz w:val="22"/>
          <w:szCs w:val="22"/>
          <w:b w:val="1"/>
          <w:bCs w:val="1"/>
          <w:color w:val="auto"/>
        </w:rPr>
        <w:t>Binding Effect.</w:t>
      </w:r>
      <w:r>
        <w:rPr>
          <w:rFonts w:ascii="Calibri" w:cs="Calibri" w:eastAsia="Calibri" w:hAnsi="Calibri"/>
          <w:sz w:val="22"/>
          <w:szCs w:val="22"/>
          <w:color w:val="auto"/>
        </w:rPr>
        <w:t xml:space="preserve"> </w:t>
      </w:r>
      <w:r>
        <w:rPr>
          <w:rFonts w:ascii="Arial" w:cs="Arial" w:eastAsia="Arial" w:hAnsi="Arial"/>
          <w:sz w:val="22"/>
          <w:szCs w:val="22"/>
          <w:color w:val="auto"/>
        </w:rPr>
        <w:t>This Agreement shall inure to the benefit of the successors and assigns of the</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Company and, subject to the restrictions on transfer set forth herein, be binding upon the Participant and the Participant’s heirs, executors, administrators, successors and assigns.</w:t>
      </w:r>
    </w:p>
    <w:p>
      <w:pPr>
        <w:spacing w:after="0" w:line="174" w:lineRule="exact"/>
        <w:rPr>
          <w:sz w:val="20"/>
          <w:szCs w:val="20"/>
          <w:color w:val="auto"/>
        </w:rPr>
      </w:pPr>
    </w:p>
    <w:p>
      <w:pPr>
        <w:ind w:left="1500"/>
        <w:spacing w:after="0"/>
        <w:rPr>
          <w:sz w:val="20"/>
          <w:szCs w:val="20"/>
          <w:color w:val="auto"/>
        </w:rPr>
      </w:pPr>
      <w:r>
        <w:rPr>
          <w:rFonts w:ascii="Calibri" w:cs="Calibri" w:eastAsia="Calibri" w:hAnsi="Calibri"/>
          <w:sz w:val="21"/>
          <w:szCs w:val="21"/>
          <w:color w:val="auto"/>
        </w:rPr>
        <w:t xml:space="preserve">10.5  </w:t>
      </w:r>
      <w:r>
        <w:rPr>
          <w:rFonts w:ascii="Arial" w:cs="Arial" w:eastAsia="Arial" w:hAnsi="Arial"/>
          <w:sz w:val="21"/>
          <w:szCs w:val="21"/>
          <w:b w:val="1"/>
          <w:bCs w:val="1"/>
          <w:color w:val="auto"/>
        </w:rPr>
        <w:t>Delivery of Documents and Notices.</w:t>
      </w:r>
      <w:r>
        <w:rPr>
          <w:rFonts w:ascii="Calibri" w:cs="Calibri" w:eastAsia="Calibri" w:hAnsi="Calibri"/>
          <w:sz w:val="21"/>
          <w:szCs w:val="21"/>
          <w:color w:val="auto"/>
        </w:rPr>
        <w:t xml:space="preserve"> </w:t>
      </w:r>
      <w:r>
        <w:rPr>
          <w:rFonts w:ascii="Arial" w:cs="Arial" w:eastAsia="Arial" w:hAnsi="Arial"/>
          <w:sz w:val="21"/>
          <w:szCs w:val="21"/>
          <w:color w:val="auto"/>
        </w:rPr>
        <w:t>Any document relating to participation in the Plan or any</w:t>
      </w:r>
    </w:p>
    <w:p>
      <w:pPr>
        <w:spacing w:after="0" w:line="36"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the Company, or upon deposit in the U.S. Post Office or foreign postal service, by registered or certified mail, or with a nationally recognized overnight courier service, with postage and fees prepaid, if to the Company at 221 River Street, 12th Floor, Hoboken, New Jersey 07030, Attention: Chief Legal Officer, and if to the Participant at the home address of the Participant on file with the Company.</w:t>
      </w:r>
    </w:p>
    <w:p>
      <w:pPr>
        <w:spacing w:after="0" w:line="176" w:lineRule="exact"/>
        <w:rPr>
          <w:sz w:val="20"/>
          <w:szCs w:val="20"/>
          <w:color w:val="auto"/>
        </w:rPr>
      </w:pPr>
    </w:p>
    <w:p>
      <w:pPr>
        <w:ind w:left="2560" w:hanging="306"/>
        <w:spacing w:after="0"/>
        <w:tabs>
          <w:tab w:leader="none" w:pos="2560" w:val="left"/>
        </w:tabs>
        <w:numPr>
          <w:ilvl w:val="0"/>
          <w:numId w:val="293"/>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Description of Electronic Delivery</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documents, which may include but do not</w:t>
      </w:r>
    </w:p>
    <w:p>
      <w:pPr>
        <w:spacing w:after="0" w:line="22" w:lineRule="exact"/>
        <w:rPr>
          <w:rFonts w:ascii="Times New Roman" w:cs="Times New Roman" w:eastAsia="Times New Roman" w:hAnsi="Times New Roman"/>
          <w:sz w:val="21"/>
          <w:szCs w:val="21"/>
          <w:color w:val="auto"/>
        </w:rPr>
      </w:pPr>
    </w:p>
    <w:p>
      <w:pPr>
        <w:jc w:val="both"/>
        <w:spacing w:after="0" w:line="233" w:lineRule="auto"/>
        <w:rPr>
          <w:rFonts w:ascii="Times New Roman" w:cs="Times New Roman" w:eastAsia="Times New Roman" w:hAnsi="Times New Roman"/>
          <w:sz w:val="21"/>
          <w:szCs w:val="21"/>
          <w:color w:val="auto"/>
        </w:rPr>
      </w:pPr>
      <w:r>
        <w:rPr>
          <w:rFonts w:ascii="Arial" w:cs="Arial" w:eastAsia="Arial" w:hAnsi="Arial"/>
          <w:sz w:val="22"/>
          <w:szCs w:val="22"/>
          <w:color w:val="auto"/>
        </w:rPr>
        <w:t>necessarily include: the Plan, the Notice, this Agreement, the Plan’s prospectus, and any reports of the Company provided generally to the Company’s shareholders, may be delivered to the Participant electronically. In addition, the Participant may deliver electronically the Notice and this Agreement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5" w:lineRule="exact"/>
        <w:rPr>
          <w:rFonts w:ascii="Times New Roman" w:cs="Times New Roman" w:eastAsia="Times New Roman" w:hAnsi="Times New Roman"/>
          <w:sz w:val="21"/>
          <w:szCs w:val="21"/>
          <w:color w:val="auto"/>
        </w:rPr>
      </w:pPr>
    </w:p>
    <w:p>
      <w:pPr>
        <w:jc w:val="both"/>
        <w:ind w:firstLine="2254"/>
        <w:spacing w:after="0" w:line="233" w:lineRule="auto"/>
        <w:tabs>
          <w:tab w:leader="none" w:pos="2546" w:val="left"/>
        </w:tabs>
        <w:numPr>
          <w:ilvl w:val="0"/>
          <w:numId w:val="293"/>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 xml:space="preserve">Consent to Electronic Delivery and Execution. </w:t>
      </w:r>
      <w:r>
        <w:rPr>
          <w:rFonts w:ascii="Arial" w:cs="Arial" w:eastAsia="Arial" w:hAnsi="Arial"/>
          <w:sz w:val="22"/>
          <w:szCs w:val="22"/>
          <w:color w:val="auto"/>
        </w:rPr>
        <w:t>The Participant acknowledges that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has read Section 10.5(a) of this Agreement and consents to the electronic delivery of the Plan documents, as described in Section 10.5(a).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or execution of such documents fails. The Participant may revoke his or her consent to the electronic delivery of documents described in Section 10.5(a)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327" w:name="page328"/>
    <w:bookmarkEnd w:id="327"/>
    <w:p>
      <w:pPr>
        <w:jc w:val="both"/>
        <w:spacing w:after="0" w:line="245" w:lineRule="auto"/>
        <w:rPr>
          <w:sz w:val="20"/>
          <w:szCs w:val="20"/>
          <w:color w:val="auto"/>
        </w:rPr>
      </w:pPr>
      <w:r>
        <w:rPr>
          <w:rFonts w:ascii="Arial" w:cs="Arial" w:eastAsia="Arial" w:hAnsi="Arial"/>
          <w:sz w:val="22"/>
          <w:szCs w:val="22"/>
          <w:color w:val="auto"/>
        </w:rPr>
        <w:t>described in Section 10.5(a). Electronic acceptance of the Notice and this Agreement shall have the same binding effect as a written or hard copy signature and accordingly, shall bind the Participant to all of the terms and conditions set forth in the Plan, the Notice and this Agreement.</w:t>
      </w:r>
    </w:p>
    <w:p>
      <w:pPr>
        <w:spacing w:after="0" w:line="168" w:lineRule="exact"/>
        <w:rPr>
          <w:sz w:val="20"/>
          <w:szCs w:val="20"/>
          <w:color w:val="auto"/>
        </w:rPr>
      </w:pPr>
    </w:p>
    <w:p>
      <w:pPr>
        <w:ind w:left="1500"/>
        <w:spacing w:after="0"/>
        <w:tabs>
          <w:tab w:leader="none" w:pos="4540" w:val="left"/>
        </w:tabs>
        <w:rPr>
          <w:sz w:val="20"/>
          <w:szCs w:val="20"/>
          <w:color w:val="auto"/>
        </w:rPr>
      </w:pPr>
      <w:r>
        <w:rPr>
          <w:rFonts w:ascii="Calibri" w:cs="Calibri" w:eastAsia="Calibri" w:hAnsi="Calibri"/>
          <w:sz w:val="22"/>
          <w:szCs w:val="22"/>
          <w:color w:val="auto"/>
        </w:rPr>
        <w:t xml:space="preserve">10.6  </w:t>
      </w:r>
      <w:r>
        <w:rPr>
          <w:rFonts w:ascii="Arial" w:cs="Arial" w:eastAsia="Arial" w:hAnsi="Arial"/>
          <w:sz w:val="22"/>
          <w:szCs w:val="22"/>
          <w:b w:val="1"/>
          <w:bCs w:val="1"/>
          <w:color w:val="auto"/>
        </w:rPr>
        <w:t>Integrated Agreement.</w:t>
      </w:r>
      <w:r>
        <w:rPr>
          <w:sz w:val="20"/>
          <w:szCs w:val="20"/>
          <w:color w:val="auto"/>
        </w:rPr>
        <w:tab/>
      </w:r>
      <w:r>
        <w:rPr>
          <w:rFonts w:ascii="Arial" w:cs="Arial" w:eastAsia="Arial" w:hAnsi="Arial"/>
          <w:sz w:val="22"/>
          <w:szCs w:val="22"/>
          <w:color w:val="auto"/>
        </w:rPr>
        <w:t>The Notice, this Agreement and the Plan shall constitute the entire</w:t>
      </w:r>
    </w:p>
    <w:p>
      <w:pPr>
        <w:spacing w:after="0" w:line="2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understanding and agreement of the Participant and the Company with respect to the subject matter contained herein or therein and supersedes any prior agreements, understandings, restrictions, representations, or warranties between the Participant and the Company with respect to such subject matter other than those as set forth or provided for herein or therein. To the extent contemplated herein or therein, the provisions of the Notice and the Agreement shall survive any settlement of the Award and shall remain in full force and effect.</w:t>
      </w:r>
    </w:p>
    <w:p>
      <w:pPr>
        <w:spacing w:after="0" w:line="176"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10.7  </w:t>
      </w:r>
      <w:r>
        <w:rPr>
          <w:rFonts w:ascii="Arial" w:cs="Arial" w:eastAsia="Arial" w:hAnsi="Arial"/>
          <w:sz w:val="22"/>
          <w:szCs w:val="22"/>
          <w:b w:val="1"/>
          <w:bCs w:val="1"/>
          <w:color w:val="auto"/>
        </w:rPr>
        <w:t>Section 409A</w:t>
      </w:r>
      <w:r>
        <w:rPr>
          <w:rFonts w:ascii="Arial" w:cs="Arial" w:eastAsia="Arial" w:hAnsi="Arial"/>
          <w:sz w:val="22"/>
          <w:szCs w:val="22"/>
          <w:color w:val="auto"/>
        </w:rPr>
        <w:t>.  This Agreement and the RSUs granted hereunder are intended to fit within the</w:t>
      </w:r>
    </w:p>
    <w:p>
      <w:pPr>
        <w:spacing w:after="0" w:line="2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“short-term deferral” exemption from Section 409A of the Code as set forth in Treasury Regulation Section 1.409A-1(b)(4). In administering this Agreement, the Company shall interpret this Agreement in a manner consistent with such exemption. Notwithstanding the foregoing, if it is determined that the RSUs fail to satisfy the requirements of the short-term deferral rule and are otherwise deferred compensation subject to Section 409A, and if the Participant is a “Specified Employee” (within the meaning set forth Section 409A(a)(2)(B)(i) of the Code) as of the date of the Participant’s separation from service (within the meaning of Treasury Regulation Section 1.409A-1(h)), then the issuance of any Shares that would otherwise be made upon the date of the separation from service or within the first six (6) months thereafter will not be made on the originally scheduled date(s) and will instead be issued in a lump sum on the date that is six (6) months and one day after the date of the separation from service, but if and only if such delay in the issuance of the Shares is necessary to avoid the imposition of additional taxation on the Participant in respect of the Shares under Section 409A of the Code. Each installment of Shares that vests is intended to constitute a “separate payment” for purposes of Section 409A of the Code and Treasury Regulation Section 1.409A-2(b)(2).</w:t>
      </w:r>
    </w:p>
    <w:p>
      <w:pPr>
        <w:spacing w:after="0" w:line="174" w:lineRule="exact"/>
        <w:rPr>
          <w:sz w:val="20"/>
          <w:szCs w:val="20"/>
          <w:color w:val="auto"/>
        </w:rPr>
      </w:pPr>
    </w:p>
    <w:p>
      <w:pPr>
        <w:ind w:left="1500"/>
        <w:spacing w:after="0"/>
        <w:rPr>
          <w:sz w:val="20"/>
          <w:szCs w:val="20"/>
          <w:color w:val="auto"/>
        </w:rPr>
      </w:pPr>
      <w:r>
        <w:rPr>
          <w:rFonts w:ascii="Calibri" w:cs="Calibri" w:eastAsia="Calibri" w:hAnsi="Calibri"/>
          <w:sz w:val="22"/>
          <w:szCs w:val="22"/>
          <w:color w:val="auto"/>
        </w:rPr>
        <w:t xml:space="preserve">10.8  </w:t>
      </w:r>
      <w:r>
        <w:rPr>
          <w:rFonts w:ascii="Arial" w:cs="Arial" w:eastAsia="Arial" w:hAnsi="Arial"/>
          <w:sz w:val="22"/>
          <w:szCs w:val="22"/>
          <w:b w:val="1"/>
          <w:bCs w:val="1"/>
          <w:color w:val="auto"/>
        </w:rPr>
        <w:t>Applicable Law.</w:t>
      </w:r>
      <w:r>
        <w:rPr>
          <w:rFonts w:ascii="Calibri" w:cs="Calibri" w:eastAsia="Calibri" w:hAnsi="Calibri"/>
          <w:sz w:val="22"/>
          <w:szCs w:val="22"/>
          <w:color w:val="auto"/>
        </w:rPr>
        <w:t xml:space="preserve"> </w:t>
      </w:r>
      <w:r>
        <w:rPr>
          <w:rFonts w:ascii="Arial" w:cs="Arial" w:eastAsia="Arial" w:hAnsi="Arial"/>
          <w:sz w:val="22"/>
          <w:szCs w:val="22"/>
          <w:color w:val="auto"/>
        </w:rPr>
        <w:t>This Agreement shall be governed by, and construed in accordance with, the</w:t>
      </w:r>
    </w:p>
    <w:p>
      <w:pPr>
        <w:spacing w:after="0" w:line="23"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laws of the State of New Jersey without regard to its conflict of laws provisions. The parties agree that any action or proceeding with respect to this Agreement shall be brought exclusively in the Superior Court of the State of New Jersey, Hudson County, or in the United States District Court for the District of New Jersey, or in any other court of competent jurisdiction in and for the State of New Jersey, Hudson County and the parties agree to the personal jurisdiction thereof. The parties hereby irrevocably waive any objection they may now or hereafter have to the laying of venue of any such action in such court(s), and further irrevocably waive any claim they may now or hereafter have that any such action brought in such court(s) has been brought in an inconvenient forum. The parties agree that, if any dispute or controversy arising from or relating to this agreement is submitted for adjudication to any court, all issues of fact shall be tried without a jury.</w:t>
      </w:r>
    </w:p>
    <w:p>
      <w:pPr>
        <w:spacing w:after="0" w:line="180" w:lineRule="exact"/>
        <w:rPr>
          <w:sz w:val="20"/>
          <w:szCs w:val="20"/>
          <w:color w:val="auto"/>
        </w:rPr>
      </w:pPr>
    </w:p>
    <w:p>
      <w:pPr>
        <w:jc w:val="both"/>
        <w:ind w:right="20" w:firstLine="1497"/>
        <w:spacing w:after="0" w:line="256" w:lineRule="auto"/>
        <w:rPr>
          <w:sz w:val="20"/>
          <w:szCs w:val="20"/>
          <w:color w:val="auto"/>
        </w:rPr>
      </w:pPr>
      <w:r>
        <w:rPr>
          <w:rFonts w:ascii="Calibri" w:cs="Calibri" w:eastAsia="Calibri" w:hAnsi="Calibri"/>
          <w:sz w:val="22"/>
          <w:szCs w:val="22"/>
          <w:color w:val="auto"/>
        </w:rPr>
        <w:t xml:space="preserve">10.9 </w:t>
      </w:r>
      <w:r>
        <w:rPr>
          <w:rFonts w:ascii="Arial" w:cs="Arial" w:eastAsia="Arial" w:hAnsi="Arial"/>
          <w:sz w:val="22"/>
          <w:szCs w:val="22"/>
          <w:b w:val="1"/>
          <w:bCs w:val="1"/>
          <w:color w:val="auto"/>
        </w:rPr>
        <w:t>Severability</w:t>
      </w:r>
      <w:r>
        <w:rPr>
          <w:rFonts w:ascii="Arial" w:cs="Arial" w:eastAsia="Arial" w:hAnsi="Arial"/>
          <w:sz w:val="22"/>
          <w:szCs w:val="22"/>
          <w:color w:val="auto"/>
        </w:rPr>
        <w:t>. If any term or provision of this Agreement or the application thereof to any</w:t>
      </w:r>
      <w:r>
        <w:rPr>
          <w:rFonts w:ascii="Calibri" w:cs="Calibri" w:eastAsia="Calibri" w:hAnsi="Calibri"/>
          <w:sz w:val="22"/>
          <w:szCs w:val="22"/>
          <w:color w:val="auto"/>
        </w:rPr>
        <w:t xml:space="preserve"> </w:t>
      </w:r>
      <w:r>
        <w:rPr>
          <w:rFonts w:ascii="Arial" w:cs="Arial" w:eastAsia="Arial" w:hAnsi="Arial"/>
          <w:sz w:val="22"/>
          <w:szCs w:val="22"/>
          <w:color w:val="auto"/>
        </w:rPr>
        <w:t>Participant or circumstance shall to any extent be invalid or unenforceable, such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8" w:name="page329"/>
    <w:bookmarkEnd w:id="328"/>
    <w:p>
      <w:pPr>
        <w:jc w:val="both"/>
        <w:spacing w:after="0" w:line="238" w:lineRule="auto"/>
        <w:rPr>
          <w:sz w:val="20"/>
          <w:szCs w:val="20"/>
          <w:color w:val="auto"/>
        </w:rPr>
      </w:pPr>
      <w:r>
        <w:rPr>
          <w:rFonts w:ascii="Arial" w:cs="Arial" w:eastAsia="Arial" w:hAnsi="Arial"/>
          <w:sz w:val="22"/>
          <w:szCs w:val="22"/>
          <w:color w:val="auto"/>
        </w:rPr>
        <w:t>provision will be modified, rewritten or interpreted to include as much of its nature and scope as will render it enforceable. If it cannot be so modified, rewritten or interpreted to be enforceable in any respect, it will not be given effect and the remainder of this Agreement, or the application of such term or provision to Participants or circumstances other than those held invalid or unenforceable, shall not be affected thereby, and each term and provision of this Agreement shall be valid and be enforced to the fullest extent permitted by law.</w:t>
      </w:r>
    </w:p>
    <w:p>
      <w:pPr>
        <w:spacing w:after="0" w:line="175" w:lineRule="exact"/>
        <w:rPr>
          <w:sz w:val="20"/>
          <w:szCs w:val="20"/>
          <w:color w:val="auto"/>
        </w:rPr>
      </w:pPr>
    </w:p>
    <w:p>
      <w:pPr>
        <w:ind w:left="1500"/>
        <w:spacing w:after="0"/>
        <w:tabs>
          <w:tab w:leader="none" w:pos="3480" w:val="left"/>
        </w:tabs>
        <w:rPr>
          <w:sz w:val="20"/>
          <w:szCs w:val="20"/>
          <w:color w:val="auto"/>
        </w:rPr>
      </w:pPr>
      <w:r>
        <w:rPr>
          <w:rFonts w:ascii="Calibri" w:cs="Calibri" w:eastAsia="Calibri" w:hAnsi="Calibri"/>
          <w:sz w:val="22"/>
          <w:szCs w:val="22"/>
          <w:color w:val="auto"/>
        </w:rPr>
        <w:t xml:space="preserve">10.10 </w:t>
      </w:r>
      <w:r>
        <w:rPr>
          <w:rFonts w:ascii="Arial" w:cs="Arial" w:eastAsia="Arial" w:hAnsi="Arial"/>
          <w:sz w:val="22"/>
          <w:szCs w:val="22"/>
          <w:b w:val="1"/>
          <w:bCs w:val="1"/>
          <w:color w:val="auto"/>
        </w:rPr>
        <w:t>Acceptance</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By accepting this Agreement, the Participant: (a) acknowledges receipt of and</w:t>
      </w:r>
    </w:p>
    <w:p>
      <w:pPr>
        <w:spacing w:after="0" w:line="23"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represents that the Participant has read and is familiar with this Agreement and the Plan, (b) accepts the Award subject to all of the terms and conditions of this Agreement and the Plan and (c) agrees to accept as binding, conclusive and final all decisions or interpretations of the Compensation Committee upon any questions arising under this Agreement except as otherwise provided in this Agreement. The Participant acknowledges that there may be tax consequences upon the vesting and settlement of the RSUs or disposition of the underlying Shares and that the Participant has been advised to consult a tax advisor prior to such vesting, settlement or disposition.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9" w:name="page330"/>
    <w:bookmarkEnd w:id="329"/>
    <w:p>
      <w:pPr>
        <w:jc w:val="right"/>
        <w:spacing w:after="0"/>
        <w:rPr>
          <w:sz w:val="20"/>
          <w:szCs w:val="20"/>
          <w:color w:val="auto"/>
        </w:rPr>
      </w:pPr>
      <w:r>
        <w:rPr>
          <w:rFonts w:ascii="Arial" w:cs="Arial" w:eastAsia="Arial" w:hAnsi="Arial"/>
          <w:sz w:val="20"/>
          <w:szCs w:val="20"/>
          <w:b w:val="1"/>
          <w:bCs w:val="1"/>
          <w:color w:val="auto"/>
        </w:rPr>
        <w:t>EXHIBIT 10.6.2</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SEPARATION AGREEMENT AND GENERAL RELEASE</w:t>
      </w:r>
    </w:p>
    <w:p>
      <w:pPr>
        <w:spacing w:after="0" w:line="213" w:lineRule="exact"/>
        <w:rPr>
          <w:sz w:val="20"/>
          <w:szCs w:val="20"/>
          <w:color w:val="auto"/>
        </w:rPr>
      </w:pPr>
    </w:p>
    <w:p>
      <w:pPr>
        <w:ind w:firstLine="749"/>
        <w:spacing w:after="0" w:line="217" w:lineRule="auto"/>
        <w:rPr>
          <w:sz w:val="20"/>
          <w:szCs w:val="20"/>
          <w:color w:val="auto"/>
        </w:rPr>
      </w:pPr>
      <w:r>
        <w:rPr>
          <w:rFonts w:ascii="Arial" w:cs="Arial" w:eastAsia="Arial" w:hAnsi="Arial"/>
          <w:sz w:val="20"/>
          <w:szCs w:val="20"/>
          <w:color w:val="auto"/>
        </w:rPr>
        <w:t>This Separation Agreement and General Release (this “Agreement”) is made and entered into this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day of May 2025 by and between The Hain Celestial Group, Inc. (“Hain” or the “Company”) and Wendy P. Davidson (“Employee”).</w:t>
      </w:r>
    </w:p>
    <w:p>
      <w:pPr>
        <w:spacing w:after="0" w:line="172" w:lineRule="exact"/>
        <w:rPr>
          <w:sz w:val="20"/>
          <w:szCs w:val="20"/>
          <w:color w:val="auto"/>
        </w:rPr>
      </w:pPr>
    </w:p>
    <w:p>
      <w:pPr>
        <w:ind w:left="760" w:right="140"/>
        <w:spacing w:after="0" w:line="450" w:lineRule="auto"/>
        <w:rPr>
          <w:sz w:val="20"/>
          <w:szCs w:val="20"/>
          <w:color w:val="auto"/>
        </w:rPr>
      </w:pPr>
      <w:r>
        <w:rPr>
          <w:rFonts w:ascii="Arial" w:cs="Arial" w:eastAsia="Arial" w:hAnsi="Arial"/>
          <w:sz w:val="20"/>
          <w:szCs w:val="20"/>
          <w:color w:val="auto"/>
        </w:rPr>
        <w:t>WHEREAS, Hain and Employee are parties to an Offer Letter, dated as of November 22, 2022 (the “Offer Letter”); and WHEREAS, Hain and Employee wish to amicably terminate Employee’s employment with Hain.</w:t>
      </w:r>
    </w:p>
    <w:p>
      <w:pPr>
        <w:spacing w:after="0" w:line="2" w:lineRule="exact"/>
        <w:rPr>
          <w:sz w:val="20"/>
          <w:szCs w:val="20"/>
          <w:color w:val="auto"/>
        </w:rPr>
      </w:pPr>
    </w:p>
    <w:p>
      <w:pPr>
        <w:ind w:firstLine="749"/>
        <w:spacing w:after="0" w:line="257" w:lineRule="auto"/>
        <w:rPr>
          <w:sz w:val="20"/>
          <w:szCs w:val="20"/>
          <w:color w:val="auto"/>
        </w:rPr>
      </w:pPr>
      <w:r>
        <w:rPr>
          <w:rFonts w:ascii="Arial" w:cs="Arial" w:eastAsia="Arial" w:hAnsi="Arial"/>
          <w:sz w:val="20"/>
          <w:szCs w:val="20"/>
          <w:color w:val="auto"/>
        </w:rPr>
        <w:t>NOW, THEREFORE, in consideration of the mutual promises and covenants set forth herein, Hain and Employee agree as follows:</w:t>
      </w:r>
    </w:p>
    <w:p>
      <w:pPr>
        <w:spacing w:after="0" w:line="155" w:lineRule="exact"/>
        <w:rPr>
          <w:sz w:val="20"/>
          <w:szCs w:val="20"/>
          <w:color w:val="auto"/>
        </w:rPr>
      </w:pPr>
    </w:p>
    <w:p>
      <w:pPr>
        <w:ind w:left="760" w:hanging="752"/>
        <w:spacing w:after="0"/>
        <w:tabs>
          <w:tab w:leader="none" w:pos="760"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Employee’s last day of employment with Hain was May 6, 2025 (the “Termination Date”). As of the end of the day on the Termination Date, Employee ceased to be an employee of the Company, ceased to serve as a member of and resigned from the Company’s Board of Directors (the “Board”) as provided in the Offer Letter, and resigned as a director and officer from any and all other positions and offices Employee may have held with any direct or indirect subsidiary of the Company. Employee shall execute such letters of resignation, if any, as the Company may request to effectuate Employee’s termination of employment, departure as a member of the Board, and resignation from any other director and officer positions Employee may hold.</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Severance Payments by Hain</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As consideration for signing this Agreement and Employee’s complete compliance therewith, Hain shall provide Employee with cash severance in the aggregate amount of $4,070,000 (equal to two (2) times the sum of Employee’s annual base salary plus Employee’s Target AIP Award (as defined in the Offer Letter) as of the Termination Date), less applicable withholdings and deductions, payable over a period of two (2) years starting from the Effective Date (as defined below), payable in biweekly installments in accordance with the general payroll practices of the Company. This severance is in accordance with the severance obligation provided in Paragraph 6 of the Offer Letter in the event of a termination by the Company without Cause (as defined in the Offer Letter).</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294"/>
        </w:numPr>
        <w:rPr>
          <w:rFonts w:ascii="Arial" w:cs="Arial" w:eastAsia="Arial" w:hAnsi="Arial"/>
          <w:sz w:val="20"/>
          <w:szCs w:val="20"/>
          <w:color w:val="auto"/>
        </w:rPr>
      </w:pPr>
      <w:r>
        <w:rPr>
          <w:rFonts w:ascii="Arial" w:cs="Arial" w:eastAsia="Arial" w:hAnsi="Arial"/>
          <w:sz w:val="20"/>
          <w:szCs w:val="20"/>
          <w:u w:val="single" w:color="auto"/>
          <w:color w:val="auto"/>
        </w:rPr>
        <w:t>Treatment of Outstanding Equity Awards</w:t>
      </w:r>
    </w:p>
    <w:p>
      <w:pPr>
        <w:spacing w:after="0" w:line="202" w:lineRule="exact"/>
        <w:rPr>
          <w:rFonts w:ascii="Arial" w:cs="Arial" w:eastAsia="Arial" w:hAnsi="Arial"/>
          <w:sz w:val="20"/>
          <w:szCs w:val="20"/>
          <w:color w:val="auto"/>
        </w:rPr>
      </w:pPr>
    </w:p>
    <w:p>
      <w:pPr>
        <w:jc w:val="both"/>
        <w:ind w:left="760"/>
        <w:spacing w:after="0" w:line="237" w:lineRule="auto"/>
        <w:rPr>
          <w:rFonts w:ascii="Arial" w:cs="Arial" w:eastAsia="Arial" w:hAnsi="Arial"/>
          <w:sz w:val="20"/>
          <w:szCs w:val="20"/>
          <w:color w:val="auto"/>
        </w:rPr>
      </w:pPr>
      <w:r>
        <w:rPr>
          <w:rFonts w:ascii="Arial" w:cs="Arial" w:eastAsia="Arial" w:hAnsi="Arial"/>
          <w:sz w:val="20"/>
          <w:szCs w:val="20"/>
          <w:color w:val="auto"/>
        </w:rPr>
        <w:t>Pursuant to a Restricted Share Unit Agreement, dated January 1, 2023, between the Company and Employee (the “Make-Whole RSU Agreement”), Employee was granted 95,321 restricted share units (“RSUs”), of which 63,547 have vested prior to the Termination Date. In accordance with Section 4.2 of the Make-Whole RSU Agreement, the remaining 31,774 unvested RSUs shall accelerate and vest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0" w:name="page331"/>
    <w:bookmarkEnd w:id="330"/>
    <w:p>
      <w:pPr>
        <w:spacing w:after="0" w:line="55"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20"/>
          <w:szCs w:val="20"/>
          <w:color w:val="auto"/>
        </w:rPr>
        <w:t>All other outstanding equity awards held by Employee shall be treated in accordance with their terms upon a termination by the Company without cause. Accordingly, all other unvested equity awards held by Employee will be forfeited in their entirety as of the Termination Date.</w:t>
      </w:r>
      <w:r>
        <w:rPr>
          <w:rFonts w:ascii="Arial" w:cs="Arial" w:eastAsia="Arial" w:hAnsi="Arial"/>
          <w:sz w:val="26"/>
          <w:szCs w:val="26"/>
          <w:color w:val="auto"/>
          <w:vertAlign w:val="superscript"/>
        </w:rPr>
        <w:t>1</w:t>
      </w:r>
    </w:p>
    <w:p>
      <w:pPr>
        <w:spacing w:after="0" w:line="65" w:lineRule="exact"/>
        <w:rPr>
          <w:sz w:val="20"/>
          <w:szCs w:val="20"/>
          <w:color w:val="auto"/>
        </w:rPr>
      </w:pPr>
    </w:p>
    <w:p>
      <w:pPr>
        <w:ind w:left="760" w:hanging="752"/>
        <w:spacing w:after="0"/>
        <w:tabs>
          <w:tab w:leader="none" w:pos="760"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Benefits</w:t>
      </w:r>
    </w:p>
    <w:p>
      <w:pPr>
        <w:spacing w:after="0" w:line="202" w:lineRule="exact"/>
        <w:rPr>
          <w:rFonts w:ascii="Arial" w:cs="Arial" w:eastAsia="Arial" w:hAnsi="Arial"/>
          <w:sz w:val="20"/>
          <w:szCs w:val="20"/>
          <w:color w:val="auto"/>
        </w:rPr>
      </w:pPr>
    </w:p>
    <w:p>
      <w:pPr>
        <w:jc w:val="both"/>
        <w:ind w:left="760"/>
        <w:spacing w:after="0" w:line="229" w:lineRule="auto"/>
        <w:rPr>
          <w:rFonts w:ascii="Arial" w:cs="Arial" w:eastAsia="Arial" w:hAnsi="Arial"/>
          <w:sz w:val="20"/>
          <w:szCs w:val="20"/>
          <w:color w:val="auto"/>
        </w:rPr>
      </w:pPr>
      <w:r>
        <w:rPr>
          <w:rFonts w:ascii="Arial" w:cs="Arial" w:eastAsia="Arial" w:hAnsi="Arial"/>
          <w:sz w:val="20"/>
          <w:szCs w:val="20"/>
          <w:color w:val="auto"/>
        </w:rPr>
        <w:t>Hain agrees to continue Employee’s medical, dental and vision coverage through May 31, 2025, in accordance with Hain’s standard policy for U.S. employees. Thereafter, Employee will be eligible to elect to continue medical, dental and vision plan coverage pursuant to the notice sent to Employee by the Company’s insurance provider in accordance with the Consolidated Omnibus Budget Reconciliation Act ("COBRA"). If Employee properly and timely elects medical, dental, and/or vision coverage pursuant to COBRA as coverage existed as of the Termination Date, Hain agrees to pay the cost of the premium for such elected coverage (subject to applicable taxes) for a period of 12 months, beginning on June 1, 2025 and ending May 31, 2026, provided Employee remains eligible for COBRA coverage continuation. Thereafter, Employee shall be entitled to elect to continue such COBRA coverage for the remainder of the COBRA period, at Employee’s own expense, in accordance with applicable law. In the event Employee becomes eligible for coverage under another employer’s plan or elects participation in another group medical and dental plan, Hain’s obligation to continue paying premiums under this Section shall cease immediately. Employee shall notify Hain immediately of Employee’s eligibility for coverage under another employer’s plan or election to participate in another group plan so that Hain may cease making COBRA payments on Employee’s behalf.</w:t>
      </w:r>
    </w:p>
    <w:p>
      <w:pPr>
        <w:spacing w:after="0" w:line="171" w:lineRule="exact"/>
        <w:rPr>
          <w:rFonts w:ascii="Arial" w:cs="Arial" w:eastAsia="Arial" w:hAnsi="Arial"/>
          <w:sz w:val="20"/>
          <w:szCs w:val="20"/>
          <w:color w:val="auto"/>
        </w:rPr>
      </w:pPr>
    </w:p>
    <w:p>
      <w:pPr>
        <w:jc w:val="both"/>
        <w:ind w:left="760" w:right="20"/>
        <w:spacing w:after="0" w:line="241" w:lineRule="auto"/>
        <w:rPr>
          <w:rFonts w:ascii="Arial" w:cs="Arial" w:eastAsia="Arial" w:hAnsi="Arial"/>
          <w:sz w:val="20"/>
          <w:szCs w:val="20"/>
          <w:color w:val="auto"/>
        </w:rPr>
      </w:pPr>
      <w:r>
        <w:rPr>
          <w:rFonts w:ascii="Arial" w:cs="Arial" w:eastAsia="Arial" w:hAnsi="Arial"/>
          <w:sz w:val="20"/>
          <w:szCs w:val="20"/>
          <w:color w:val="auto"/>
        </w:rPr>
        <w:t>Employee's participation in all other benefits and incidents of employment (including, but not limited to, the accrual of vacation and paid time off, Life Insurance, AD&amp;D, Long Term Disability, 401(k), and, except as expressly provided in Section 3 hereof, the vesting of equity grants) cease on the Termination Date.</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295"/>
        </w:numPr>
        <w:rPr>
          <w:rFonts w:ascii="Arial" w:cs="Arial" w:eastAsia="Arial" w:hAnsi="Arial"/>
          <w:sz w:val="20"/>
          <w:szCs w:val="20"/>
          <w:color w:val="auto"/>
        </w:rPr>
      </w:pPr>
      <w:r>
        <w:rPr>
          <w:rFonts w:ascii="Arial" w:cs="Arial" w:eastAsia="Arial" w:hAnsi="Arial"/>
          <w:sz w:val="20"/>
          <w:szCs w:val="20"/>
          <w:u w:val="single" w:color="auto"/>
          <w:color w:val="auto"/>
        </w:rPr>
        <w:t>No Further Payment of Salary, Bonuses or Other Benefits or Compensation</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Except with respect to (A) the severance payments provided by Section 2 hereof, (B) the accelerated vesting of the unvested RSUs granted pursuant to the Make-Whole RSU Agreement, and (C) the COBRA benefit set forth in Section 4 hereof, Employee acknowledges and represents that, as of the date Employee signed this Agreement, Hain has paid all salary, wages, bonuses, equity, housing allowances, relocation costs, interest, severance, stock, fees, commissions, and any and all other benefits and compensation due to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1688465" cy="5080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8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both"/>
        <w:ind w:left="760" w:hanging="3"/>
        <w:spacing w:after="0" w:line="209" w:lineRule="auto"/>
        <w:tabs>
          <w:tab w:leader="none" w:pos="874" w:val="left"/>
        </w:tabs>
        <w:numPr>
          <w:ilvl w:val="0"/>
          <w:numId w:val="296"/>
        </w:numPr>
        <w:rPr>
          <w:rFonts w:ascii="Times New Roman" w:cs="Times New Roman" w:eastAsia="Times New Roman" w:hAnsi="Times New Roman"/>
          <w:sz w:val="24"/>
          <w:szCs w:val="24"/>
          <w:color w:val="auto"/>
          <w:vertAlign w:val="superscript"/>
        </w:rPr>
      </w:pPr>
      <w:r>
        <w:rPr>
          <w:rFonts w:ascii="Arial" w:cs="Arial" w:eastAsia="Arial" w:hAnsi="Arial"/>
          <w:sz w:val="14"/>
          <w:szCs w:val="14"/>
          <w:color w:val="auto"/>
        </w:rPr>
        <w:t>The following equity awards held by Employee shall terminate in accordance with their terms as of the Termination Date: (A) 11,916 RSUs granted January 1, 2023 (in an original award amount of 35,746 RSUs, of which 11,915 RSUs vested on each of September 6, 2023 and September 6, 2024), (B) 17,873 Absolute TSR performance share units (“PSUs”) granted on January 1, 2023, (C) 35,746 Relative TSR PSUs granted on January 1, 2023, (D) 84,143 RSUs granted on October 25, 2023 (in an original award amount of 126,214 RSUs, of which 42,071 vested on October 25, 2024, (E) 63,107 Absolute TSR PSUs granted on October 25, 2023,</w:t>
      </w:r>
    </w:p>
    <w:p>
      <w:pPr>
        <w:spacing w:after="0" w:line="1" w:lineRule="exact"/>
        <w:rPr>
          <w:rFonts w:ascii="Times New Roman" w:cs="Times New Roman" w:eastAsia="Times New Roman" w:hAnsi="Times New Roman"/>
          <w:sz w:val="24"/>
          <w:szCs w:val="24"/>
          <w:color w:val="auto"/>
          <w:vertAlign w:val="superscript"/>
        </w:rPr>
      </w:pPr>
    </w:p>
    <w:p>
      <w:pPr>
        <w:ind w:left="760"/>
        <w:spacing w:after="0" w:line="264" w:lineRule="auto"/>
        <w:rPr>
          <w:rFonts w:ascii="Times New Roman" w:cs="Times New Roman" w:eastAsia="Times New Roman" w:hAnsi="Times New Roman"/>
          <w:sz w:val="24"/>
          <w:szCs w:val="24"/>
          <w:color w:val="auto"/>
          <w:vertAlign w:val="superscript"/>
        </w:rPr>
      </w:pPr>
      <w:r>
        <w:rPr>
          <w:rFonts w:ascii="Arial" w:cs="Arial" w:eastAsia="Arial" w:hAnsi="Arial"/>
          <w:sz w:val="14"/>
          <w:szCs w:val="14"/>
          <w:color w:val="auto"/>
        </w:rPr>
        <w:t>(F) 126,214 Relative TSR PSUs granted on October 25, 2023, (G) 155,201 RSUs granted on October 28, 2024, (H) 93,121 Relative TSR PSUs granted on October 28, 2024, (I) 46,561 Unlevered Free Cash Flow PSUs granted on October 28, 2024, and (J) 93,121 Adjusted EBITDA Margin PSUs granted on October 28, 2024.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55" w:lineRule="exact"/>
        <w:rPr>
          <w:sz w:val="20"/>
          <w:szCs w:val="20"/>
          <w:color w:val="auto"/>
        </w:rPr>
      </w:pPr>
    </w:p>
    <w:p>
      <w:pPr>
        <w:ind w:left="760" w:hanging="752"/>
        <w:spacing w:after="0"/>
        <w:tabs>
          <w:tab w:leader="none" w:pos="76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Indemnification</w:t>
      </w:r>
    </w:p>
    <w:p>
      <w:pPr>
        <w:spacing w:after="0" w:line="202" w:lineRule="exact"/>
        <w:rPr>
          <w:rFonts w:ascii="Arial" w:cs="Arial" w:eastAsia="Arial" w:hAnsi="Arial"/>
          <w:sz w:val="20"/>
          <w:szCs w:val="20"/>
          <w:color w:val="auto"/>
        </w:rPr>
      </w:pPr>
    </w:p>
    <w:p>
      <w:pPr>
        <w:jc w:val="both"/>
        <w:ind w:left="760"/>
        <w:spacing w:after="0" w:line="228" w:lineRule="auto"/>
        <w:rPr>
          <w:rFonts w:ascii="Arial" w:cs="Arial" w:eastAsia="Arial" w:hAnsi="Arial"/>
          <w:sz w:val="20"/>
          <w:szCs w:val="20"/>
          <w:color w:val="auto"/>
        </w:rPr>
      </w:pPr>
      <w:r>
        <w:rPr>
          <w:rFonts w:ascii="Arial" w:cs="Arial" w:eastAsia="Arial" w:hAnsi="Arial"/>
          <w:sz w:val="20"/>
          <w:szCs w:val="20"/>
          <w:color w:val="auto"/>
        </w:rPr>
        <w:t>Notwithstanding anything to the contrary herein, including any release by Employee herein, to the fullest extent permitted by applicable law and the provisions of the existing Hain Certificate of Incorporation, Hain shall indemnify and hold harmless Employee from and against any and all liabilities, obligations, losses, damages, fines, taxes and interest and penalties thereon (other than taxes based on fees or other compensation received by Employee), claims, demands, actions, suits, proceedings (whether civil, criminal, administrative, investigative or otherwise), costs, expenses and disbursements (including legal and accounting fees and expenses, which shall be advanced as incurred, costs of investigation and sums paid in settlement) of any kind or nature whatsoever (collectively, “Claims and Expenses”) which may be imposed on, incurred by or asserted at any time against Employee in any way related to Employee’s employment by Hain, or the management or administration of Hain, or in connection with the business or affairs of Hain or the activities of Employee on behalf of the Company; provided that Employee shall not be entitled to indemnification hereunder for Claims and Expenses that are (i) incurred by Employee as plaintiff in any action, suit or proceeding brought against the Company or (ii) incurred by Employee as a defendant in any action, suit or proceeding brought against Employee by a third party and found by a court of competent jurisdiction in a final judgment not subject to further appeal to be attributable to Employee’s knowing fraud or willful misconduct. Hain represents and warrants that the Director &amp; Officer insurance policies in effect on May 6, 2025, will continue to cover Employee for acts and omissions occurring through May 6, 2025.</w:t>
      </w:r>
    </w:p>
    <w:p>
      <w:pPr>
        <w:spacing w:after="0" w:line="176" w:lineRule="exact"/>
        <w:rPr>
          <w:rFonts w:ascii="Arial" w:cs="Arial" w:eastAsia="Arial" w:hAnsi="Arial"/>
          <w:sz w:val="20"/>
          <w:szCs w:val="20"/>
          <w:color w:val="auto"/>
        </w:rPr>
      </w:pPr>
    </w:p>
    <w:p>
      <w:pPr>
        <w:ind w:left="760" w:hanging="752"/>
        <w:spacing w:after="0"/>
        <w:tabs>
          <w:tab w:leader="none" w:pos="760" w:val="left"/>
        </w:tabs>
        <w:numPr>
          <w:ilvl w:val="0"/>
          <w:numId w:val="297"/>
        </w:numPr>
        <w:rPr>
          <w:rFonts w:ascii="Arial" w:cs="Arial" w:eastAsia="Arial" w:hAnsi="Arial"/>
          <w:sz w:val="20"/>
          <w:szCs w:val="20"/>
          <w:color w:val="auto"/>
        </w:rPr>
      </w:pPr>
      <w:r>
        <w:rPr>
          <w:rFonts w:ascii="Arial" w:cs="Arial" w:eastAsia="Arial" w:hAnsi="Arial"/>
          <w:sz w:val="20"/>
          <w:szCs w:val="20"/>
          <w:u w:val="single" w:color="auto"/>
          <w:color w:val="auto"/>
        </w:rPr>
        <w:t>Release by Employee</w:t>
      </w:r>
    </w:p>
    <w:p>
      <w:pPr>
        <w:spacing w:after="0" w:line="202" w:lineRule="exact"/>
        <w:rPr>
          <w:rFonts w:ascii="Arial" w:cs="Arial" w:eastAsia="Arial" w:hAnsi="Arial"/>
          <w:sz w:val="20"/>
          <w:szCs w:val="20"/>
          <w:color w:val="auto"/>
        </w:rPr>
      </w:pPr>
    </w:p>
    <w:p>
      <w:pPr>
        <w:jc w:val="both"/>
        <w:ind w:left="760"/>
        <w:spacing w:after="0" w:line="229" w:lineRule="auto"/>
        <w:rPr>
          <w:rFonts w:ascii="Arial" w:cs="Arial" w:eastAsia="Arial" w:hAnsi="Arial"/>
          <w:sz w:val="20"/>
          <w:szCs w:val="20"/>
          <w:color w:val="auto"/>
        </w:rPr>
      </w:pPr>
      <w:r>
        <w:rPr>
          <w:rFonts w:ascii="Arial" w:cs="Arial" w:eastAsia="Arial" w:hAnsi="Arial"/>
          <w:sz w:val="20"/>
          <w:szCs w:val="20"/>
          <w:color w:val="auto"/>
        </w:rPr>
        <w:t>Employee agrees that Employee would not be entitled to the consideration and benefits set forth in Sections 2 and 3 hereof absent Employee’s execution and fulfillment of this Agreement. As a consequence of execution of this Agreement, and except as described in this Agreement, Hain and its current and former officers, directors, employees, agents, investors, attorneys, creditors, counsel, shareholders, administrators, affiliates, divisions, subsidiaries, predecessor and successor corporations and assigns and any other affiliated or related person or entity (the “Releasees”) have no outstanding obligations to Employee. Employee, on Employee’s own behalf, and on behalf of Employee’s present and former heirs, family members, executors, creditors, agents, assigns and any other affiliated or related person or entity, hereby fully and forever releases Hain and the other Releasees from, and agrees not to sue concerning, any claim, duty, obligation or cause of action relating to any matters of any kind, whether presently known or unknown, suspected or unsuspected, that Employee may possess up to and including the Effective Date of this Agreement, including, without limitation:</w:t>
      </w:r>
    </w:p>
    <w:p>
      <w:pPr>
        <w:spacing w:after="0" w:line="178" w:lineRule="exact"/>
        <w:rPr>
          <w:rFonts w:ascii="Arial" w:cs="Arial" w:eastAsia="Arial" w:hAnsi="Arial"/>
          <w:sz w:val="20"/>
          <w:szCs w:val="20"/>
          <w:color w:val="auto"/>
        </w:rPr>
      </w:pPr>
    </w:p>
    <w:p>
      <w:pPr>
        <w:ind w:left="1500" w:right="20" w:hanging="743"/>
        <w:spacing w:after="0" w:line="257" w:lineRule="auto"/>
        <w:tabs>
          <w:tab w:leader="none" w:pos="150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employment with Hain, or the termination of that employment;</w:t>
      </w:r>
    </w:p>
    <w:p>
      <w:pPr>
        <w:spacing w:after="0" w:line="155" w:lineRule="exact"/>
        <w:rPr>
          <w:rFonts w:ascii="Arial" w:cs="Arial" w:eastAsia="Arial" w:hAnsi="Arial"/>
          <w:sz w:val="20"/>
          <w:szCs w:val="20"/>
          <w:color w:val="auto"/>
        </w:rPr>
      </w:pPr>
    </w:p>
    <w:p>
      <w:pPr>
        <w:jc w:val="both"/>
        <w:ind w:left="1500" w:hanging="743"/>
        <w:spacing w:after="0" w:line="241" w:lineRule="auto"/>
        <w:tabs>
          <w:tab w:leader="none" w:pos="1500" w:val="left"/>
        </w:tabs>
        <w:numPr>
          <w:ilvl w:val="1"/>
          <w:numId w:val="297"/>
        </w:numPr>
        <w:rPr>
          <w:rFonts w:ascii="Arial" w:cs="Arial" w:eastAsia="Arial" w:hAnsi="Arial"/>
          <w:sz w:val="20"/>
          <w:szCs w:val="20"/>
          <w:color w:val="auto"/>
        </w:rPr>
      </w:pPr>
      <w:r>
        <w:rPr>
          <w:rFonts w:ascii="Arial" w:cs="Arial" w:eastAsia="Arial" w:hAnsi="Arial"/>
          <w:sz w:val="20"/>
          <w:szCs w:val="20"/>
          <w:color w:val="auto"/>
        </w:rPr>
        <w:t>any and all claims relating to, or arising from, Employee's right to purchase, or actual purchase of, shares of Company stock, including, but not limited to, any claims for fraud, misrepresentation, breach of fiduciary duty, breach of duty under applicable state corporate law, and securities fraud under 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55" w:lineRule="exact"/>
        <w:rPr>
          <w:sz w:val="20"/>
          <w:szCs w:val="20"/>
          <w:color w:val="auto"/>
        </w:rPr>
      </w:pPr>
    </w:p>
    <w:p>
      <w:pPr>
        <w:ind w:left="743"/>
        <w:spacing w:after="0"/>
        <w:rPr>
          <w:sz w:val="20"/>
          <w:szCs w:val="20"/>
          <w:color w:val="auto"/>
        </w:rPr>
      </w:pPr>
      <w:r>
        <w:rPr>
          <w:rFonts w:ascii="Arial" w:cs="Arial" w:eastAsia="Arial" w:hAnsi="Arial"/>
          <w:sz w:val="20"/>
          <w:szCs w:val="20"/>
          <w:color w:val="auto"/>
        </w:rPr>
        <w:t>state or federal law;</w:t>
      </w:r>
    </w:p>
    <w:p>
      <w:pPr>
        <w:spacing w:after="0" w:line="202" w:lineRule="exact"/>
        <w:rPr>
          <w:sz w:val="20"/>
          <w:szCs w:val="20"/>
          <w:color w:val="auto"/>
        </w:rPr>
      </w:pPr>
    </w:p>
    <w:p>
      <w:pPr>
        <w:jc w:val="both"/>
        <w:ind w:left="743" w:hanging="743"/>
        <w:spacing w:after="0" w:line="232" w:lineRule="auto"/>
        <w:tabs>
          <w:tab w:leader="none" w:pos="7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and all claims under the law of any jurisdiction, including, but not limited to, wrongful discharge of employment; constructive discharge from employment; termination in violation of public policy; discrimination;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qui tam; whistleblower, battery; invasion of privacy; false imprisonment; and conversion;</w:t>
      </w:r>
    </w:p>
    <w:p>
      <w:pPr>
        <w:spacing w:after="0" w:line="171" w:lineRule="exact"/>
        <w:rPr>
          <w:rFonts w:ascii="Arial" w:cs="Arial" w:eastAsia="Arial" w:hAnsi="Arial"/>
          <w:sz w:val="20"/>
          <w:szCs w:val="20"/>
          <w:color w:val="auto"/>
        </w:rPr>
      </w:pPr>
    </w:p>
    <w:p>
      <w:pPr>
        <w:jc w:val="both"/>
        <w:ind w:left="743" w:hanging="743"/>
        <w:spacing w:after="0" w:line="241" w:lineRule="auto"/>
        <w:tabs>
          <w:tab w:leader="none" w:pos="743" w:val="left"/>
        </w:tabs>
        <w:numPr>
          <w:ilvl w:val="0"/>
          <w:numId w:val="298"/>
        </w:numPr>
        <w:rPr>
          <w:rFonts w:ascii="Arial" w:cs="Arial" w:eastAsia="Arial" w:hAnsi="Arial"/>
          <w:sz w:val="19"/>
          <w:szCs w:val="19"/>
          <w:color w:val="auto"/>
        </w:rPr>
      </w:pPr>
      <w:r>
        <w:rPr>
          <w:rFonts w:ascii="Arial" w:cs="Arial" w:eastAsia="Arial" w:hAnsi="Arial"/>
          <w:sz w:val="19"/>
          <w:szCs w:val="19"/>
          <w:color w:val="auto"/>
        </w:rPr>
        <w:t>any and all claims for violation of any federal, state or municipal statute, including, but not limited to, Title VII of the Civil Rights Act of 1964; the Civil Rights Act of 1991; the Age Discrimination in Employment Act of 1967; the Americans with Disabilities Act of 1990; the Employee Retirement Income Security Act of 1974; the Worker Adjustment and Retraining Notification Act; the Family and Medical Leave Act; the Equal Pay Act of 1963; the Fair Credit Reporting Act; the Illinois Human Rights Act; the Right to Privacy in the Workplace Act; the Illinois Employment Contract Act; the Illinois Labor Dispute Act; the Victims' Economic Security and Safety Act; the Illinois Whistleblower Act; the Illinois Equal Pay Act; the New Jersey Law Against Discrimination; the New Jersey Family Leave Act; the New Jersey Conscientious Employee Protection Act; the New Jersey wage, wage payment, wage theft and wage-hour laws; the New York State Executive Law (including its Human Rights Law); the New York City Administrative Code (including its Human Rights Law); the New York State Labor Law; the New York wage, wage payment, wage theft and wage-hour laws; and the Sarbanes-Oxley Act;</w:t>
      </w:r>
    </w:p>
    <w:p>
      <w:pPr>
        <w:spacing w:after="0" w:line="178" w:lineRule="exact"/>
        <w:rPr>
          <w:rFonts w:ascii="Arial" w:cs="Arial" w:eastAsia="Arial" w:hAnsi="Arial"/>
          <w:sz w:val="19"/>
          <w:szCs w:val="19"/>
          <w:color w:val="auto"/>
        </w:rPr>
      </w:pPr>
    </w:p>
    <w:p>
      <w:pPr>
        <w:ind w:left="743" w:hanging="743"/>
        <w:spacing w:after="0"/>
        <w:tabs>
          <w:tab w:leader="none" w:pos="7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and all claims for violation of the federal, or any state, constitution;</w:t>
      </w:r>
    </w:p>
    <w:p>
      <w:pPr>
        <w:spacing w:after="0" w:line="202" w:lineRule="exact"/>
        <w:rPr>
          <w:rFonts w:ascii="Arial" w:cs="Arial" w:eastAsia="Arial" w:hAnsi="Arial"/>
          <w:sz w:val="20"/>
          <w:szCs w:val="20"/>
          <w:color w:val="auto"/>
        </w:rPr>
      </w:pPr>
    </w:p>
    <w:p>
      <w:pPr>
        <w:ind w:left="743" w:hanging="743"/>
        <w:spacing w:after="0" w:line="257" w:lineRule="auto"/>
        <w:tabs>
          <w:tab w:leader="none" w:pos="7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and all claims arising out of any other laws and regulations relating to employment or employment discrimination;</w:t>
      </w:r>
    </w:p>
    <w:p>
      <w:pPr>
        <w:spacing w:after="0" w:line="155" w:lineRule="exact"/>
        <w:rPr>
          <w:rFonts w:ascii="Arial" w:cs="Arial" w:eastAsia="Arial" w:hAnsi="Arial"/>
          <w:sz w:val="20"/>
          <w:szCs w:val="20"/>
          <w:color w:val="auto"/>
        </w:rPr>
      </w:pPr>
    </w:p>
    <w:p>
      <w:pPr>
        <w:ind w:left="743" w:hanging="743"/>
        <w:spacing w:after="0" w:line="257" w:lineRule="auto"/>
        <w:tabs>
          <w:tab w:leader="none" w:pos="7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claim for any loss, cost, damage, or expense arising out of any dispute over the non-withholding or other tax treatment of any of the proceeds received by Employee as a result of this Agreement; and</w:t>
      </w:r>
    </w:p>
    <w:p>
      <w:pPr>
        <w:spacing w:after="0" w:line="155" w:lineRule="exact"/>
        <w:rPr>
          <w:rFonts w:ascii="Arial" w:cs="Arial" w:eastAsia="Arial" w:hAnsi="Arial"/>
          <w:sz w:val="20"/>
          <w:szCs w:val="20"/>
          <w:color w:val="auto"/>
        </w:rPr>
      </w:pPr>
    </w:p>
    <w:p>
      <w:pPr>
        <w:ind w:left="743" w:hanging="743"/>
        <w:spacing w:after="0"/>
        <w:tabs>
          <w:tab w:leader="none" w:pos="74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and all claims for attorneys’ fees and costs.</w:t>
      </w:r>
    </w:p>
    <w:p>
      <w:pPr>
        <w:spacing w:after="0" w:line="202" w:lineRule="exact"/>
        <w:rPr>
          <w:sz w:val="20"/>
          <w:szCs w:val="20"/>
          <w:color w:val="auto"/>
        </w:rPr>
      </w:pPr>
    </w:p>
    <w:p>
      <w:pPr>
        <w:jc w:val="both"/>
        <w:ind w:left="3"/>
        <w:spacing w:after="0" w:line="233" w:lineRule="auto"/>
        <w:rPr>
          <w:sz w:val="20"/>
          <w:szCs w:val="20"/>
          <w:color w:val="auto"/>
        </w:rPr>
      </w:pPr>
      <w:r>
        <w:rPr>
          <w:rFonts w:ascii="Arial" w:cs="Arial" w:eastAsia="Arial" w:hAnsi="Arial"/>
          <w:sz w:val="20"/>
          <w:szCs w:val="20"/>
          <w:color w:val="auto"/>
        </w:rPr>
        <w:t>Hain and Employee agree that the release set forth in this Section shall be and remain in effect in all respects as a complete general release as to the matters released for all time. Employee agrees and understands this Agreement provides a full and final general release covering all known and unknown and anticipated and unanticipated injuries, debts, or damages which may have arisen, or which may arise, connected with all matters from the beginning of time to the Effective Date, as well as those injuries, debts, claims or damages now known or disclosed which may have arisen, or which may arise, from Employee’s employment with or separation from Hain on the Termination Date.</w:t>
      </w:r>
    </w:p>
    <w:p>
      <w:pPr>
        <w:spacing w:after="0" w:line="37" w:lineRule="exact"/>
        <w:rPr>
          <w:sz w:val="20"/>
          <w:szCs w:val="20"/>
          <w:color w:val="auto"/>
        </w:rPr>
      </w:pPr>
    </w:p>
    <w:p>
      <w:pPr>
        <w:ind w:left="4803"/>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609600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333" w:name="page334"/>
    <w:bookmarkEnd w:id="333"/>
    <w:p>
      <w:pPr>
        <w:spacing w:after="0" w:line="271" w:lineRule="exact"/>
        <w:rPr>
          <w:sz w:val="20"/>
          <w:szCs w:val="20"/>
          <w:color w:val="auto"/>
        </w:rPr>
      </w:pPr>
    </w:p>
    <w:p>
      <w:pPr>
        <w:jc w:val="both"/>
        <w:ind w:left="760"/>
        <w:spacing w:after="0" w:line="229" w:lineRule="auto"/>
        <w:rPr>
          <w:sz w:val="20"/>
          <w:szCs w:val="20"/>
          <w:color w:val="auto"/>
        </w:rPr>
      </w:pPr>
      <w:r>
        <w:rPr>
          <w:rFonts w:ascii="Arial" w:cs="Arial" w:eastAsia="Arial" w:hAnsi="Arial"/>
          <w:sz w:val="20"/>
          <w:szCs w:val="20"/>
          <w:color w:val="auto"/>
        </w:rPr>
        <w:t>This release is not intended to bar claims that cannot be waived by law, such as claims for workers’ compensation benefits or unemployment insurance benefits, but Employee acknowledges that Employee is not aware of any work-related condition or injury. Moreover, Employee and Hain acknowledge that this Agreement does not limit either party’s right, where applicable, to file or participate in an investigation, hearing, whistleblower proceeding, or Government Entity (as defined in the Confidentiality Agreement) proceeding, but Employee waives the right to any personal remedy, to the maximum extent permitted by law, except that this Agreement does not limit Employee’s right to receive an award for information provided to any Government Entity. Additionally, by signing this agreement, Employee does not release and discharge: (a) any vested and non-forfeitable right that the Employee may have under the terms of any profit-sharing, retirement, or similar employee welfare benefit plan administrated by the Company; (b) any claim for breach of this Agreement; (c) any claims for indemnification; and (d) any claims arising after the date on which Employee signs this Agreement. This Agreement is not intended in any way to limit Employee’s right or ability to: (a) bring a lawsuit against the Company to enforce the Company’s obligations under this Agreement; or (b) make any disclosure of information required by law.</w:t>
      </w:r>
    </w:p>
    <w:p>
      <w:pPr>
        <w:spacing w:after="0" w:line="171" w:lineRule="exact"/>
        <w:rPr>
          <w:sz w:val="20"/>
          <w:szCs w:val="20"/>
          <w:color w:val="auto"/>
        </w:rPr>
      </w:pPr>
    </w:p>
    <w:p>
      <w:pPr>
        <w:ind w:left="760" w:hanging="752"/>
        <w:spacing w:after="0"/>
        <w:tabs>
          <w:tab w:leader="none" w:pos="760" w:val="left"/>
        </w:tabs>
        <w:numPr>
          <w:ilvl w:val="0"/>
          <w:numId w:val="299"/>
        </w:numPr>
        <w:rPr>
          <w:rFonts w:ascii="Arial" w:cs="Arial" w:eastAsia="Arial" w:hAnsi="Arial"/>
          <w:sz w:val="20"/>
          <w:szCs w:val="20"/>
          <w:color w:val="auto"/>
        </w:rPr>
      </w:pPr>
      <w:r>
        <w:rPr>
          <w:rFonts w:ascii="Arial" w:cs="Arial" w:eastAsia="Arial" w:hAnsi="Arial"/>
          <w:sz w:val="20"/>
          <w:szCs w:val="20"/>
          <w:u w:val="single" w:color="auto"/>
          <w:color w:val="auto"/>
        </w:rPr>
        <w:t>Acknowledgement of Waiver of Claims Under ADEA</w:t>
      </w:r>
    </w:p>
    <w:p>
      <w:pPr>
        <w:spacing w:after="0" w:line="310" w:lineRule="exact"/>
        <w:rPr>
          <w:rFonts w:ascii="Arial" w:cs="Arial" w:eastAsia="Arial" w:hAnsi="Arial"/>
          <w:sz w:val="20"/>
          <w:szCs w:val="20"/>
          <w:color w:val="auto"/>
        </w:rPr>
      </w:pPr>
    </w:p>
    <w:p>
      <w:pPr>
        <w:jc w:val="both"/>
        <w:ind w:left="760"/>
        <w:spacing w:after="0" w:line="233" w:lineRule="auto"/>
        <w:rPr>
          <w:rFonts w:ascii="Arial" w:cs="Arial" w:eastAsia="Arial" w:hAnsi="Arial"/>
          <w:sz w:val="20"/>
          <w:szCs w:val="20"/>
          <w:color w:val="auto"/>
        </w:rPr>
      </w:pPr>
      <w:r>
        <w:rPr>
          <w:rFonts w:ascii="Arial" w:cs="Arial" w:eastAsia="Arial" w:hAnsi="Arial"/>
          <w:sz w:val="20"/>
          <w:szCs w:val="20"/>
          <w:color w:val="auto"/>
        </w:rPr>
        <w:t>Employee acknowledges that Employee is waiving and releasing any rights Employee may have under the Age Discrimination in Employment Act of 1967 (“ADEA”) and that this waiver and release is knowing and voluntary. Employee and Hain agree that this waiver and release does not apply to any rights or claims that may arise under the ADEA after the Effective Date of this Agreement. Employee acknowledges that the consideration given for this waiver and release is in addition to anything of value to which Employee was already entitled. Employee further acknowledges that Employee has been advised by this writing that:</w:t>
      </w:r>
    </w:p>
    <w:p>
      <w:pPr>
        <w:spacing w:after="0" w:line="64" w:lineRule="exact"/>
        <w:rPr>
          <w:rFonts w:ascii="Arial" w:cs="Arial" w:eastAsia="Arial" w:hAnsi="Arial"/>
          <w:sz w:val="20"/>
          <w:szCs w:val="20"/>
          <w:color w:val="auto"/>
        </w:rPr>
      </w:pPr>
    </w:p>
    <w:p>
      <w:pPr>
        <w:ind w:left="1500" w:hanging="758"/>
        <w:spacing w:after="0"/>
        <w:tabs>
          <w:tab w:leader="none" w:pos="150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Employee should consult with an attorney prior to executing this Agreement;</w:t>
      </w:r>
    </w:p>
    <w:p>
      <w:pPr>
        <w:spacing w:after="0" w:line="202" w:lineRule="exact"/>
        <w:rPr>
          <w:rFonts w:ascii="Arial" w:cs="Arial" w:eastAsia="Arial" w:hAnsi="Arial"/>
          <w:sz w:val="20"/>
          <w:szCs w:val="20"/>
          <w:color w:val="auto"/>
        </w:rPr>
      </w:pPr>
    </w:p>
    <w:p>
      <w:pPr>
        <w:ind w:left="1500" w:hanging="758"/>
        <w:spacing w:after="0"/>
        <w:tabs>
          <w:tab w:leader="none" w:pos="150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Employee has up to twenty-one (21) calendar days within which to consider this Agreement;</w:t>
      </w:r>
    </w:p>
    <w:p>
      <w:pPr>
        <w:spacing w:after="0" w:line="202" w:lineRule="exact"/>
        <w:rPr>
          <w:rFonts w:ascii="Arial" w:cs="Arial" w:eastAsia="Arial" w:hAnsi="Arial"/>
          <w:sz w:val="20"/>
          <w:szCs w:val="20"/>
          <w:color w:val="auto"/>
        </w:rPr>
      </w:pPr>
    </w:p>
    <w:p>
      <w:pPr>
        <w:ind w:left="1500" w:right="20" w:hanging="758"/>
        <w:spacing w:after="0" w:line="257" w:lineRule="auto"/>
        <w:tabs>
          <w:tab w:leader="none" w:pos="150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Employee has seven (7) calendar days following Employee’s execution of this Agreement to revoke this Agreement;</w:t>
      </w:r>
    </w:p>
    <w:p>
      <w:pPr>
        <w:spacing w:after="0" w:line="155" w:lineRule="exact"/>
        <w:rPr>
          <w:rFonts w:ascii="Arial" w:cs="Arial" w:eastAsia="Arial" w:hAnsi="Arial"/>
          <w:sz w:val="20"/>
          <w:szCs w:val="20"/>
          <w:color w:val="auto"/>
        </w:rPr>
      </w:pPr>
    </w:p>
    <w:p>
      <w:pPr>
        <w:ind w:left="1500" w:hanging="758"/>
        <w:spacing w:after="0"/>
        <w:tabs>
          <w:tab w:leader="none" w:pos="150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this Agreement shall not be effective until the revocation period has expired; and</w:t>
      </w:r>
    </w:p>
    <w:p>
      <w:pPr>
        <w:spacing w:after="0" w:line="202" w:lineRule="exact"/>
        <w:rPr>
          <w:rFonts w:ascii="Arial" w:cs="Arial" w:eastAsia="Arial" w:hAnsi="Arial"/>
          <w:sz w:val="20"/>
          <w:szCs w:val="20"/>
          <w:color w:val="auto"/>
        </w:rPr>
      </w:pPr>
    </w:p>
    <w:p>
      <w:pPr>
        <w:jc w:val="both"/>
        <w:ind w:left="1500" w:hanging="758"/>
        <w:spacing w:after="0" w:line="237" w:lineRule="auto"/>
        <w:tabs>
          <w:tab w:leader="none" w:pos="1500" w:val="left"/>
        </w:tabs>
        <w:numPr>
          <w:ilvl w:val="1"/>
          <w:numId w:val="299"/>
        </w:numPr>
        <w:rPr>
          <w:rFonts w:ascii="Arial" w:cs="Arial" w:eastAsia="Arial" w:hAnsi="Arial"/>
          <w:sz w:val="20"/>
          <w:szCs w:val="20"/>
          <w:color w:val="auto"/>
        </w:rPr>
      </w:pPr>
      <w:r>
        <w:rPr>
          <w:rFonts w:ascii="Arial" w:cs="Arial" w:eastAsia="Arial" w:hAnsi="Arial"/>
          <w:sz w:val="20"/>
          <w:szCs w:val="20"/>
          <w:color w:val="auto"/>
        </w:rPr>
        <w:t>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However, if the release of ADEA claims or any other claim is set aside or limited, all monies paid hereunder shall be set-off against any relief or recovery.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55" w:lineRule="exact"/>
        <w:rPr>
          <w:sz w:val="20"/>
          <w:szCs w:val="20"/>
          <w:color w:val="auto"/>
        </w:rPr>
      </w:pPr>
    </w:p>
    <w:p>
      <w:pPr>
        <w:ind w:left="760" w:hanging="752"/>
        <w:spacing w:after="0"/>
        <w:tabs>
          <w:tab w:leader="none" w:pos="76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Neither this Agreement, nor anything contained herein, shall be construed as an admission by the Company that it has in any respect violated or abridged any Federal, State, or local law or any right or obligation that it may owe or may have owed to Employee. No final findings or final judgments have been made and Employee does not purport and will not claim to be a prevailing party, to any degree or extent, nor will this Agreement or its terms be admissible in any proceeding other than in a proceeding for breach of the terms contained herein.</w:t>
      </w:r>
    </w:p>
    <w:p>
      <w:pPr>
        <w:spacing w:after="0" w:line="174" w:lineRule="exact"/>
        <w:rPr>
          <w:rFonts w:ascii="Arial" w:cs="Arial" w:eastAsia="Arial" w:hAnsi="Arial"/>
          <w:sz w:val="20"/>
          <w:szCs w:val="20"/>
          <w:color w:val="auto"/>
        </w:rPr>
      </w:pPr>
    </w:p>
    <w:p>
      <w:pPr>
        <w:ind w:left="760" w:hanging="752"/>
        <w:spacing w:after="0"/>
        <w:tabs>
          <w:tab w:leader="none" w:pos="76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Cooperation by Employee</w:t>
      </w:r>
    </w:p>
    <w:p>
      <w:pPr>
        <w:spacing w:after="0" w:line="202" w:lineRule="exact"/>
        <w:rPr>
          <w:rFonts w:ascii="Arial" w:cs="Arial" w:eastAsia="Arial" w:hAnsi="Arial"/>
          <w:sz w:val="20"/>
          <w:szCs w:val="20"/>
          <w:color w:val="auto"/>
        </w:rPr>
      </w:pPr>
    </w:p>
    <w:p>
      <w:pPr>
        <w:jc w:val="both"/>
        <w:ind w:left="760"/>
        <w:spacing w:after="0" w:line="229" w:lineRule="auto"/>
        <w:rPr>
          <w:rFonts w:ascii="Arial" w:cs="Arial" w:eastAsia="Arial" w:hAnsi="Arial"/>
          <w:sz w:val="20"/>
          <w:szCs w:val="20"/>
          <w:color w:val="auto"/>
        </w:rPr>
      </w:pPr>
      <w:r>
        <w:rPr>
          <w:rFonts w:ascii="Arial" w:cs="Arial" w:eastAsia="Arial" w:hAnsi="Arial"/>
          <w:sz w:val="20"/>
          <w:szCs w:val="20"/>
          <w:color w:val="auto"/>
        </w:rPr>
        <w:t>Employee shall reasonably assist Hain in the presentation or prosecution of any disputes, differences, grievances, claims, charges, or complaints by any third party against Hain or any of the Releasees without additional compensation, provided, however that Hain will reimburse Employee for all reasonable out-of-pocket and travel-related expenses incurred with providing such assistance. Any request for cooperation by the Company hereunder will take into account, to the extent practicable, Employee’s personal and professional schedule, and shall be scheduled so as not to unreasonably interfere with Employee’s professional schedule. Employee and Hain acknowledge this Section does not limit Employee’s right, where applicable, to file or participate in an investigative proceeding of any Government Entity without requiring notice to Hain or any of the Releasees; Employee nevertheless understands that because of the waiver and general release Employee freely provides by signing this Agreement, Employee cannot obtain any monetary relief or recovery in any such proceeding to the extent permitted by law, except that this Agreement does not limit Employee’s right to receive an award for information provided to any Government Entity.</w:t>
      </w:r>
    </w:p>
    <w:p>
      <w:pPr>
        <w:spacing w:after="0" w:line="178" w:lineRule="exact"/>
        <w:rPr>
          <w:rFonts w:ascii="Arial" w:cs="Arial" w:eastAsia="Arial" w:hAnsi="Arial"/>
          <w:sz w:val="20"/>
          <w:szCs w:val="20"/>
          <w:color w:val="auto"/>
        </w:rPr>
      </w:pPr>
    </w:p>
    <w:p>
      <w:pPr>
        <w:jc w:val="both"/>
        <w:ind w:left="760"/>
        <w:spacing w:after="0" w:line="241" w:lineRule="auto"/>
        <w:rPr>
          <w:rFonts w:ascii="Arial" w:cs="Arial" w:eastAsia="Arial" w:hAnsi="Arial"/>
          <w:sz w:val="20"/>
          <w:szCs w:val="20"/>
          <w:color w:val="auto"/>
        </w:rPr>
      </w:pPr>
      <w:r>
        <w:rPr>
          <w:rFonts w:ascii="Arial" w:cs="Arial" w:eastAsia="Arial" w:hAnsi="Arial"/>
          <w:sz w:val="20"/>
          <w:szCs w:val="20"/>
          <w:color w:val="auto"/>
        </w:rPr>
        <w:t>In addition, if requested by the Company within six (6) months of the Termination Date, Employee shall assist and cooperate with the Company regarding reasonable requests for information about the business of the Company and matters relating to Employee’s employment.</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300"/>
        </w:numPr>
        <w:rPr>
          <w:rFonts w:ascii="Arial" w:cs="Arial" w:eastAsia="Arial" w:hAnsi="Arial"/>
          <w:sz w:val="20"/>
          <w:szCs w:val="20"/>
          <w:color w:val="auto"/>
        </w:rPr>
      </w:pPr>
      <w:r>
        <w:rPr>
          <w:rFonts w:ascii="Arial" w:cs="Arial" w:eastAsia="Arial" w:hAnsi="Arial"/>
          <w:sz w:val="20"/>
          <w:szCs w:val="20"/>
          <w:u w:val="single" w:color="auto"/>
          <w:color w:val="auto"/>
        </w:rPr>
        <w:t>Reaffirmation of Confidentiality Agreement; Press Releases and Public Disclosures</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In connection with Employee’s commencement of employment with the Company, Employee entered into a Confidentiality, Non-Interference, and Invention Assignment Agreement (the “Confidentiality Agreement”), the terms of which are incorporated by reference herein. As a condition to Employee’s receipt of the payments and benefits set forth in Sections 2 and 3 hereof, Employee reaffirms and agrees to comply with the covenants and restrictions set forth in the Confidentiality Agreement.</w:t>
      </w:r>
    </w:p>
    <w:p>
      <w:pPr>
        <w:spacing w:after="0" w:line="174" w:lineRule="exact"/>
        <w:rPr>
          <w:rFonts w:ascii="Arial" w:cs="Arial" w:eastAsia="Arial" w:hAnsi="Arial"/>
          <w:sz w:val="20"/>
          <w:szCs w:val="20"/>
          <w:color w:val="auto"/>
        </w:rPr>
      </w:pPr>
    </w:p>
    <w:p>
      <w:pPr>
        <w:jc w:val="both"/>
        <w:ind w:left="760"/>
        <w:spacing w:after="0" w:line="237" w:lineRule="auto"/>
        <w:rPr>
          <w:rFonts w:ascii="Arial" w:cs="Arial" w:eastAsia="Arial" w:hAnsi="Arial"/>
          <w:sz w:val="20"/>
          <w:szCs w:val="20"/>
          <w:color w:val="auto"/>
        </w:rPr>
      </w:pPr>
      <w:r>
        <w:rPr>
          <w:rFonts w:ascii="Arial" w:cs="Arial" w:eastAsia="Arial" w:hAnsi="Arial"/>
          <w:sz w:val="20"/>
          <w:szCs w:val="20"/>
          <w:color w:val="auto"/>
        </w:rPr>
        <w:t>Employee Agrees that Employee shall not issue, or cause to be issued, any press release or any other public statement (including on any websites including but not limited to LinkedIn or other social media) regarding Employee’s separation from the Company without prior written approval from the Chair of the Board; provided that Employee may respond truthfully to rebut any false statements made by the Company.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271" w:lineRule="exact"/>
        <w:rPr>
          <w:sz w:val="20"/>
          <w:szCs w:val="20"/>
          <w:color w:val="auto"/>
        </w:rPr>
      </w:pPr>
    </w:p>
    <w:p>
      <w:pPr>
        <w:ind w:left="760" w:hanging="752"/>
        <w:spacing w:after="0"/>
        <w:tabs>
          <w:tab w:leader="none" w:pos="7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No Consideration Absent Execution of this Agreement</w:t>
      </w:r>
    </w:p>
    <w:p>
      <w:pPr>
        <w:spacing w:after="0" w:line="202" w:lineRule="exact"/>
        <w:rPr>
          <w:rFonts w:ascii="Arial" w:cs="Arial" w:eastAsia="Arial" w:hAnsi="Arial"/>
          <w:sz w:val="20"/>
          <w:szCs w:val="20"/>
          <w:color w:val="auto"/>
        </w:rPr>
      </w:pPr>
    </w:p>
    <w:p>
      <w:pPr>
        <w:jc w:val="both"/>
        <w:ind w:left="760"/>
        <w:spacing w:after="0" w:line="237" w:lineRule="auto"/>
        <w:rPr>
          <w:rFonts w:ascii="Arial" w:cs="Arial" w:eastAsia="Arial" w:hAnsi="Arial"/>
          <w:sz w:val="20"/>
          <w:szCs w:val="20"/>
          <w:color w:val="auto"/>
        </w:rPr>
      </w:pPr>
      <w:r>
        <w:rPr>
          <w:rFonts w:ascii="Arial" w:cs="Arial" w:eastAsia="Arial" w:hAnsi="Arial"/>
          <w:sz w:val="20"/>
          <w:szCs w:val="20"/>
          <w:color w:val="auto"/>
        </w:rPr>
        <w:t>Employee agrees and understands that the Company has no obligation to pay or provide (A) the severance payments provided by Section 2 hereof, (B) the accelerated vesting of unvested RSUs granted pursuant to the Make-Whole RSU Agreement or (C) the payment of COBRA premiums provided by Section 4 hereof unless Employee signs this Agreement and follows its terms.</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Entire Agreement and Severability</w:t>
      </w:r>
    </w:p>
    <w:p>
      <w:pPr>
        <w:spacing w:after="0" w:line="202" w:lineRule="exact"/>
        <w:rPr>
          <w:rFonts w:ascii="Arial" w:cs="Arial" w:eastAsia="Arial" w:hAnsi="Arial"/>
          <w:sz w:val="20"/>
          <w:szCs w:val="20"/>
          <w:color w:val="auto"/>
        </w:rPr>
      </w:pPr>
    </w:p>
    <w:p>
      <w:pPr>
        <w:jc w:val="both"/>
        <w:ind w:left="760"/>
        <w:spacing w:after="0" w:line="242" w:lineRule="auto"/>
        <w:rPr>
          <w:rFonts w:ascii="Arial" w:cs="Arial" w:eastAsia="Arial" w:hAnsi="Arial"/>
          <w:sz w:val="20"/>
          <w:szCs w:val="20"/>
          <w:color w:val="auto"/>
        </w:rPr>
      </w:pPr>
      <w:r>
        <w:rPr>
          <w:rFonts w:ascii="Arial" w:cs="Arial" w:eastAsia="Arial" w:hAnsi="Arial"/>
          <w:sz w:val="19"/>
          <w:szCs w:val="19"/>
          <w:color w:val="auto"/>
        </w:rPr>
        <w:t>The parties hereto agree that this Agreement may not be modified, altered or changed, except by a written agreement signed by the parties hereto. This Agreement, together with the Confidentiality Agreement incorporated herein, represents the entire agreement and understanding between Hain and Employee concerning the subject matter of this Agreement and Employee's relationship with Hain, and supersedes and replaces any and all prior agreements and understandings between the parties concerning the subject matter of this Agreement and Employee's relationship with Hain. If any provision of this Agreement is held to be invalid, the court rendering that finding shall interpret or modify each such clause to be enforceable to fulfill the parties’ stated intent. If that cannot be done, such clause(s) shall be void and the remaining provisions shall remain in full force and effect. If any term or provision of this Agreement or the application thereof to Employee or circumstance shall to any extent be invalid or unenforceable, such provision will be modified, rewritten or interpreted by the parties to include as much of its nature and scope as will render it enforceable.</w:t>
      </w:r>
    </w:p>
    <w:p>
      <w:pPr>
        <w:spacing w:after="0" w:line="172" w:lineRule="exact"/>
        <w:rPr>
          <w:rFonts w:ascii="Arial" w:cs="Arial" w:eastAsia="Arial" w:hAnsi="Arial"/>
          <w:sz w:val="20"/>
          <w:szCs w:val="20"/>
          <w:color w:val="auto"/>
        </w:rPr>
      </w:pPr>
    </w:p>
    <w:p>
      <w:pPr>
        <w:ind w:left="760" w:hanging="752"/>
        <w:spacing w:after="0"/>
        <w:tabs>
          <w:tab w:leader="none" w:pos="7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Breach of Agreement or Post-Employment Restrictive Covenants</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Employee acknowledges and agrees that if Employee materially breaches this Agreement or the Confidentiality Agreement, the Company shall be entitled immediately to recover 95% of the after-tax severance payments, other after-tax payments and benefits set forth in Sections 2 through 4 already provided and to cease any outstanding consideration without impacting Employee’s release of claims and other obligations hereunder, without limitation to any other remedies, including equitable remedies. In addition, the prevailing party shall be entitled to recover its costs and fees, including reasonable attorneys’ fees, incurred in the successful enforcement (or defense of enforcement) of this Agreement or the Confidentiality Agreement.</w:t>
      </w:r>
    </w:p>
    <w:p>
      <w:pPr>
        <w:spacing w:after="0" w:line="171" w:lineRule="exact"/>
        <w:rPr>
          <w:rFonts w:ascii="Arial" w:cs="Arial" w:eastAsia="Arial" w:hAnsi="Arial"/>
          <w:sz w:val="20"/>
          <w:szCs w:val="20"/>
          <w:color w:val="auto"/>
        </w:rPr>
      </w:pPr>
    </w:p>
    <w:p>
      <w:pPr>
        <w:ind w:left="760" w:hanging="752"/>
        <w:spacing w:after="0"/>
        <w:tabs>
          <w:tab w:leader="none" w:pos="7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Resolution of Disputes/Waiver of Jury Trial</w:t>
      </w:r>
    </w:p>
    <w:p>
      <w:pPr>
        <w:spacing w:after="0" w:line="202" w:lineRule="exact"/>
        <w:rPr>
          <w:rFonts w:ascii="Arial" w:cs="Arial" w:eastAsia="Arial" w:hAnsi="Arial"/>
          <w:sz w:val="20"/>
          <w:szCs w:val="20"/>
          <w:color w:val="auto"/>
        </w:rPr>
      </w:pPr>
    </w:p>
    <w:p>
      <w:pPr>
        <w:jc w:val="both"/>
        <w:ind w:left="760"/>
        <w:spacing w:after="0" w:line="246" w:lineRule="auto"/>
        <w:rPr>
          <w:rFonts w:ascii="Arial" w:cs="Arial" w:eastAsia="Arial" w:hAnsi="Arial"/>
          <w:sz w:val="20"/>
          <w:szCs w:val="20"/>
          <w:color w:val="auto"/>
        </w:rPr>
      </w:pPr>
      <w:r>
        <w:rPr>
          <w:rFonts w:ascii="Arial" w:cs="Arial" w:eastAsia="Arial" w:hAnsi="Arial"/>
          <w:sz w:val="20"/>
          <w:szCs w:val="20"/>
          <w:color w:val="auto"/>
        </w:rPr>
        <w:t xml:space="preserve">Any controversy or claim arising out of this Agreement, or the breach thereof, shall be decided by an appropriate state or federal court nearest to Hain’s corporate headquarters, </w:t>
      </w:r>
      <w:r>
        <w:rPr>
          <w:rFonts w:ascii="Arial" w:cs="Arial" w:eastAsia="Arial" w:hAnsi="Arial"/>
          <w:sz w:val="20"/>
          <w:szCs w:val="20"/>
          <w:b w:val="1"/>
          <w:bCs w:val="1"/>
          <w:color w:val="auto"/>
        </w:rPr>
        <w:t>and all such claims shall be adjudicated by a judge</w:t>
      </w:r>
      <w:r>
        <w:rPr>
          <w:rFonts w:ascii="Arial" w:cs="Arial" w:eastAsia="Arial" w:hAnsi="Arial"/>
          <w:sz w:val="20"/>
          <w:szCs w:val="20"/>
          <w:color w:val="auto"/>
        </w:rPr>
        <w:t xml:space="preserve"> </w:t>
      </w:r>
      <w:r>
        <w:rPr>
          <w:rFonts w:ascii="Arial" w:cs="Arial" w:eastAsia="Arial" w:hAnsi="Arial"/>
          <w:sz w:val="20"/>
          <w:szCs w:val="20"/>
          <w:b w:val="1"/>
          <w:bCs w:val="1"/>
          <w:color w:val="auto"/>
        </w:rPr>
        <w:t>sitting without a jury.</w:t>
      </w:r>
    </w:p>
    <w:p>
      <w:pPr>
        <w:spacing w:after="0" w:line="156" w:lineRule="exact"/>
        <w:rPr>
          <w:rFonts w:ascii="Arial" w:cs="Arial" w:eastAsia="Arial" w:hAnsi="Arial"/>
          <w:sz w:val="20"/>
          <w:szCs w:val="20"/>
          <w:color w:val="auto"/>
        </w:rPr>
      </w:pPr>
    </w:p>
    <w:p>
      <w:pPr>
        <w:ind w:left="760" w:hanging="752"/>
        <w:spacing w:after="0"/>
        <w:tabs>
          <w:tab w:leader="none" w:pos="760" w:val="left"/>
        </w:tabs>
        <w:numPr>
          <w:ilvl w:val="0"/>
          <w:numId w:val="301"/>
        </w:numPr>
        <w:rPr>
          <w:rFonts w:ascii="Arial" w:cs="Arial" w:eastAsia="Arial" w:hAnsi="Arial"/>
          <w:sz w:val="20"/>
          <w:szCs w:val="20"/>
          <w:color w:val="auto"/>
        </w:rPr>
      </w:pPr>
      <w:r>
        <w:rPr>
          <w:rFonts w:ascii="Arial" w:cs="Arial" w:eastAsia="Arial" w:hAnsi="Arial"/>
          <w:sz w:val="20"/>
          <w:szCs w:val="20"/>
          <w:u w:val="single" w:color="auto"/>
          <w:color w:val="auto"/>
        </w:rPr>
        <w:t>Governing Law</w:t>
      </w:r>
    </w:p>
    <w:p>
      <w:pPr>
        <w:spacing w:after="0" w:line="202" w:lineRule="exact"/>
        <w:rPr>
          <w:sz w:val="20"/>
          <w:szCs w:val="20"/>
          <w:color w:val="auto"/>
        </w:rPr>
      </w:pPr>
    </w:p>
    <w:p>
      <w:pPr>
        <w:ind w:left="760"/>
        <w:spacing w:after="0" w:line="257" w:lineRule="auto"/>
        <w:rPr>
          <w:sz w:val="20"/>
          <w:szCs w:val="20"/>
          <w:color w:val="auto"/>
        </w:rPr>
      </w:pPr>
      <w:r>
        <w:rPr>
          <w:rFonts w:ascii="Arial" w:cs="Arial" w:eastAsia="Arial" w:hAnsi="Arial"/>
          <w:sz w:val="20"/>
          <w:szCs w:val="20"/>
          <w:color w:val="auto"/>
        </w:rPr>
        <w:t>This Agreement shall be governed by the laws of the State of Illinois, without regard for choice of law provisions. In addition, Hain and Employee agree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55" w:lineRule="exact"/>
        <w:rPr>
          <w:sz w:val="20"/>
          <w:szCs w:val="20"/>
          <w:color w:val="auto"/>
        </w:rPr>
      </w:pPr>
    </w:p>
    <w:p>
      <w:pPr>
        <w:jc w:val="both"/>
        <w:ind w:left="760" w:right="20"/>
        <w:spacing w:after="0" w:line="241" w:lineRule="auto"/>
        <w:rPr>
          <w:sz w:val="20"/>
          <w:szCs w:val="20"/>
          <w:color w:val="auto"/>
        </w:rPr>
      </w:pPr>
      <w:r>
        <w:rPr>
          <w:rFonts w:ascii="Arial" w:cs="Arial" w:eastAsia="Arial" w:hAnsi="Arial"/>
          <w:sz w:val="20"/>
          <w:szCs w:val="20"/>
          <w:color w:val="auto"/>
        </w:rPr>
        <w:t>acknowledge that Section 9(a) of the Confidentiality Agreement is hereby amended such that the Confidentiality Agreement shall be governed by and construed in accordance with the laws of the State of Illinois, without regard for choice of law provisions.</w:t>
      </w:r>
    </w:p>
    <w:p>
      <w:pPr>
        <w:spacing w:after="0" w:line="171" w:lineRule="exact"/>
        <w:rPr>
          <w:sz w:val="20"/>
          <w:szCs w:val="20"/>
          <w:color w:val="auto"/>
        </w:rPr>
      </w:pPr>
    </w:p>
    <w:p>
      <w:pPr>
        <w:ind w:left="760" w:hanging="752"/>
        <w:spacing w:after="0"/>
        <w:tabs>
          <w:tab w:leader="none" w:pos="760"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Effective Date</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This Agreement is effective after it has been signed by both parties and after eight (8) calendar days have passed following the date of Employee’s signature on the Agreement (the “Effective Date”). Any revocation prior to the eighth day after the date of Employee’s signature must be submitted, in writing, to Amber Jefferson, Chief People Officer and state, “I hereby revoke my acceptance of our Separation Agreement and General Release.” The revocation must be delivered to Amber Jefferson and postmarked within seven (7) calendar days of execution of this Agreement.</w:t>
      </w:r>
    </w:p>
    <w:p>
      <w:pPr>
        <w:spacing w:after="0" w:line="174" w:lineRule="exact"/>
        <w:rPr>
          <w:rFonts w:ascii="Arial" w:cs="Arial" w:eastAsia="Arial" w:hAnsi="Arial"/>
          <w:sz w:val="20"/>
          <w:szCs w:val="20"/>
          <w:color w:val="auto"/>
        </w:rPr>
      </w:pPr>
    </w:p>
    <w:p>
      <w:pPr>
        <w:ind w:left="760" w:hanging="752"/>
        <w:spacing w:after="0"/>
        <w:tabs>
          <w:tab w:leader="none" w:pos="760"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Capability to Waive Claims</w:t>
      </w:r>
    </w:p>
    <w:p>
      <w:pPr>
        <w:spacing w:after="0" w:line="202" w:lineRule="exact"/>
        <w:rPr>
          <w:rFonts w:ascii="Arial" w:cs="Arial" w:eastAsia="Arial" w:hAnsi="Arial"/>
          <w:sz w:val="20"/>
          <w:szCs w:val="20"/>
          <w:color w:val="auto"/>
        </w:rPr>
      </w:pPr>
    </w:p>
    <w:p>
      <w:pPr>
        <w:jc w:val="both"/>
        <w:ind w:left="760"/>
        <w:spacing w:after="0" w:line="234" w:lineRule="auto"/>
        <w:rPr>
          <w:rFonts w:ascii="Arial" w:cs="Arial" w:eastAsia="Arial" w:hAnsi="Arial"/>
          <w:sz w:val="20"/>
          <w:szCs w:val="20"/>
          <w:color w:val="auto"/>
        </w:rPr>
      </w:pPr>
      <w:r>
        <w:rPr>
          <w:rFonts w:ascii="Arial" w:cs="Arial" w:eastAsia="Arial" w:hAnsi="Arial"/>
          <w:sz w:val="20"/>
          <w:szCs w:val="20"/>
          <w:color w:val="auto"/>
        </w:rPr>
        <w:t>Employee is competent to effect a knowing and voluntary general and unlimited release of all claims and to enter into this Agreement. Employee is not affected or impaired in Employee’s ability voluntarily and knowingly to consider and to execute this Agreement, whether by illness, use of alcohol, drugs or other substances or conditions. Employee is not a party to any bankruptcy, lien, assignment, creditor-debtor or other proceeding which would impair the right to settle all claims against Hain or to waive all claims that Employee may have against Released Parties.</w:t>
      </w:r>
    </w:p>
    <w:p>
      <w:pPr>
        <w:spacing w:after="0" w:line="174" w:lineRule="exact"/>
        <w:rPr>
          <w:rFonts w:ascii="Arial" w:cs="Arial" w:eastAsia="Arial" w:hAnsi="Arial"/>
          <w:sz w:val="20"/>
          <w:szCs w:val="20"/>
          <w:color w:val="auto"/>
        </w:rPr>
      </w:pPr>
    </w:p>
    <w:p>
      <w:pPr>
        <w:ind w:left="760" w:hanging="752"/>
        <w:spacing w:after="0"/>
        <w:tabs>
          <w:tab w:leader="none" w:pos="760" w:val="left"/>
        </w:tabs>
        <w:numPr>
          <w:ilvl w:val="0"/>
          <w:numId w:val="302"/>
        </w:numPr>
        <w:rPr>
          <w:rFonts w:ascii="Arial" w:cs="Arial" w:eastAsia="Arial" w:hAnsi="Arial"/>
          <w:sz w:val="20"/>
          <w:szCs w:val="20"/>
          <w:color w:val="auto"/>
        </w:rPr>
      </w:pPr>
      <w:r>
        <w:rPr>
          <w:rFonts w:ascii="Arial" w:cs="Arial" w:eastAsia="Arial" w:hAnsi="Arial"/>
          <w:sz w:val="20"/>
          <w:szCs w:val="20"/>
          <w:u w:val="single" w:color="auto"/>
          <w:color w:val="auto"/>
        </w:rPr>
        <w:t>Voluntary Execution</w:t>
      </w:r>
    </w:p>
    <w:p>
      <w:pPr>
        <w:spacing w:after="0" w:line="202" w:lineRule="exact"/>
        <w:rPr>
          <w:rFonts w:ascii="Arial" w:cs="Arial" w:eastAsia="Arial" w:hAnsi="Arial"/>
          <w:sz w:val="20"/>
          <w:szCs w:val="20"/>
          <w:color w:val="auto"/>
        </w:rPr>
      </w:pPr>
    </w:p>
    <w:p>
      <w:pPr>
        <w:jc w:val="both"/>
        <w:ind w:left="760"/>
        <w:spacing w:after="0" w:line="232" w:lineRule="auto"/>
        <w:rPr>
          <w:rFonts w:ascii="Arial" w:cs="Arial" w:eastAsia="Arial" w:hAnsi="Arial"/>
          <w:sz w:val="20"/>
          <w:szCs w:val="20"/>
          <w:color w:val="auto"/>
        </w:rPr>
      </w:pPr>
      <w:r>
        <w:rPr>
          <w:rFonts w:ascii="Arial" w:cs="Arial" w:eastAsia="Arial" w:hAnsi="Arial"/>
          <w:sz w:val="20"/>
          <w:szCs w:val="20"/>
          <w:color w:val="auto"/>
        </w:rPr>
        <w:t>Employee acknowledges that Employee has carefully read this Agreement and understands all of its terms including the general and final release of claims set forth above and covenant not to sue. Employee further acknowledges that Employee has voluntarily entered into this Agreement; that Employee has not relied upon any representation or statement, written or oral, not set forth in this Agreement; that the only consideration for signing this Agreement is as set forth herein; that the consideration received for executing this Agreement is greater than that to which Employee may otherwise be entitled; and that this document gives Employee the opportunity and encourages Employee to have this Agreement reviewed by Employee’s attorney and tax advisor.</w:t>
      </w:r>
    </w:p>
    <w:p>
      <w:pPr>
        <w:spacing w:after="0" w:line="169" w:lineRule="exact"/>
        <w:rPr>
          <w:rFonts w:ascii="Arial" w:cs="Arial" w:eastAsia="Arial" w:hAnsi="Arial"/>
          <w:sz w:val="20"/>
          <w:szCs w:val="20"/>
          <w:color w:val="auto"/>
        </w:rPr>
      </w:pPr>
    </w:p>
    <w:p>
      <w:pPr>
        <w:ind w:left="760" w:right="20"/>
        <w:spacing w:after="0" w:line="235" w:lineRule="auto"/>
        <w:rPr>
          <w:rFonts w:ascii="Arial" w:cs="Arial" w:eastAsia="Arial" w:hAnsi="Arial"/>
          <w:sz w:val="20"/>
          <w:szCs w:val="20"/>
          <w:color w:val="auto"/>
        </w:rPr>
      </w:pPr>
      <w:r>
        <w:rPr>
          <w:rFonts w:ascii="Arial" w:cs="Arial" w:eastAsia="Arial" w:hAnsi="Arial"/>
          <w:sz w:val="20"/>
          <w:szCs w:val="20"/>
          <w:b w:val="1"/>
          <w:bCs w:val="1"/>
          <w:color w:val="auto"/>
        </w:rPr>
        <w:t>EMPLOYEE HAS UP TO TWENTY-ONE (21) CALENDAR DAYS TO CONSIDER THIS AGREEMENT. EMPLOYEE ALSO IS ADVISED TO CONSULT WITH AN ATTORNEY PRIOR TO SIGNING THIS AGREEMENT.</w:t>
      </w:r>
    </w:p>
    <w:p>
      <w:pPr>
        <w:spacing w:after="0" w:line="1" w:lineRule="exact"/>
        <w:rPr>
          <w:rFonts w:ascii="Arial" w:cs="Arial" w:eastAsia="Arial" w:hAnsi="Arial"/>
          <w:sz w:val="20"/>
          <w:szCs w:val="20"/>
          <w:color w:val="auto"/>
        </w:rPr>
      </w:pPr>
    </w:p>
    <w:p>
      <w:pPr>
        <w:jc w:val="both"/>
        <w:ind w:left="760"/>
        <w:spacing w:after="0" w:line="238" w:lineRule="auto"/>
        <w:rPr>
          <w:rFonts w:ascii="Arial" w:cs="Arial" w:eastAsia="Arial" w:hAnsi="Arial"/>
          <w:sz w:val="20"/>
          <w:szCs w:val="20"/>
          <w:color w:val="auto"/>
        </w:rPr>
      </w:pPr>
      <w:r>
        <w:rPr>
          <w:rFonts w:ascii="Arial" w:cs="Arial" w:eastAsia="Arial" w:hAnsi="Arial"/>
          <w:sz w:val="20"/>
          <w:szCs w:val="20"/>
          <w:b w:val="1"/>
          <w:bCs w:val="1"/>
          <w:color w:val="auto"/>
        </w:rPr>
        <w:t>EMPLOYEE AGREES THAT ANY MODIFICATIONS, MATERIAL OR OTHERWISE, MADE TO THIS AGREEMENT, DO NOT RESTART OR AFFECT IN ANY MANNER THE ORIGINAL TWENTY-ONE (21) CALENDAR DAY CONSIDERATION PERIOD.</w:t>
      </w:r>
    </w:p>
    <w:p>
      <w:pPr>
        <w:spacing w:after="0" w:line="159" w:lineRule="exact"/>
        <w:rPr>
          <w:rFonts w:ascii="Arial" w:cs="Arial" w:eastAsia="Arial" w:hAnsi="Arial"/>
          <w:sz w:val="20"/>
          <w:szCs w:val="20"/>
          <w:color w:val="auto"/>
        </w:rPr>
      </w:pPr>
    </w:p>
    <w:p>
      <w:pPr>
        <w:jc w:val="both"/>
        <w:ind w:left="760"/>
        <w:spacing w:after="0" w:line="247" w:lineRule="auto"/>
        <w:rPr>
          <w:rFonts w:ascii="Arial" w:cs="Arial" w:eastAsia="Arial" w:hAnsi="Arial"/>
          <w:sz w:val="20"/>
          <w:szCs w:val="20"/>
          <w:color w:val="auto"/>
        </w:rPr>
      </w:pPr>
      <w:r>
        <w:rPr>
          <w:rFonts w:ascii="Arial" w:cs="Arial" w:eastAsia="Arial" w:hAnsi="Arial"/>
          <w:sz w:val="20"/>
          <w:szCs w:val="20"/>
          <w:b w:val="1"/>
          <w:bCs w:val="1"/>
          <w:color w:val="auto"/>
        </w:rPr>
        <w:t>EMPLOYEE MAY REVOKE THIS AGREEMENT DURING THE SEVEN (7) CALENDAR DAYS FOLLOWING THE DAY EMPLOYEE SIGNS THIS AGREEMENT. ANY REVOCATION WITHIN THIS PERIOD MUST BE SUBMITTED, IN WRITING, TO AMBER JEFFERSON, CHIEF PEOPLE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5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OFFICER, AND STATE, "I HEREBY REVOKE MY ACCEPTANCE OF OUR SEPARATION AGREEMENT AND GENERAL RELEASE." THE REVOCATION MUST BE PERSONALLY DELIVERED TO AMBER JEFFERSON OR HER DESIGNEE, OR MAILED TO AMBER JEFFERSON AT THE HAIN CELESTIAL GROUP, INC., 221 RIVER STREET, HOBOKEN, NEW JERSEY 07030 AND POSTMARKED WITHIN SEVEN (7) CALENDAR DAYS AFTER EMPLOYEE SIGNS THIS AGREEMENT.</w:t>
      </w:r>
    </w:p>
    <w:p>
      <w:pPr>
        <w:spacing w:after="0" w:line="160" w:lineRule="exact"/>
        <w:rPr>
          <w:sz w:val="20"/>
          <w:szCs w:val="20"/>
          <w:color w:val="auto"/>
        </w:rPr>
      </w:pPr>
    </w:p>
    <w:p>
      <w:pPr>
        <w:jc w:val="both"/>
        <w:spacing w:after="0" w:line="270" w:lineRule="auto"/>
        <w:rPr>
          <w:sz w:val="20"/>
          <w:szCs w:val="20"/>
          <w:color w:val="auto"/>
        </w:rPr>
      </w:pPr>
      <w:r>
        <w:rPr>
          <w:rFonts w:ascii="Arial" w:cs="Arial" w:eastAsia="Arial" w:hAnsi="Arial"/>
          <w:sz w:val="20"/>
          <w:szCs w:val="20"/>
          <w:b w:val="1"/>
          <w:bCs w:val="1"/>
          <w:color w:val="auto"/>
        </w:rPr>
        <w:t>EMPLOYEE FREELY AND KNOWINGLY, AND AFTER DUE CONSIDERATION, ENTERS INTO THIS AGREEMENT INTENDING TO WAIVE, SETTLE AND RELEASE ALL CLAIMS AGAINST HAIN AND RELEASEES.</w:t>
      </w:r>
    </w:p>
    <w:p>
      <w:pPr>
        <w:spacing w:after="0" w:line="349" w:lineRule="exact"/>
        <w:rPr>
          <w:sz w:val="20"/>
          <w:szCs w:val="20"/>
          <w:color w:val="auto"/>
        </w:rPr>
      </w:pPr>
    </w:p>
    <w:p>
      <w:pPr>
        <w:jc w:val="center"/>
        <w:ind w:right="740"/>
        <w:spacing w:after="0"/>
        <w:rPr>
          <w:sz w:val="20"/>
          <w:szCs w:val="20"/>
          <w:color w:val="auto"/>
        </w:rPr>
      </w:pPr>
      <w:r>
        <w:rPr>
          <w:rFonts w:ascii="Arial" w:cs="Arial" w:eastAsia="Arial" w:hAnsi="Arial"/>
          <w:sz w:val="20"/>
          <w:szCs w:val="20"/>
          <w:i w:val="1"/>
          <w:iCs w:val="1"/>
          <w:color w:val="auto"/>
        </w:rPr>
        <w:t>[Signature Page Follows]</w:t>
      </w:r>
    </w:p>
    <w:p>
      <w:pPr>
        <w:spacing w:after="0" w:line="283"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609600</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40" w:right="339" w:bottom="1440" w:gutter="0" w:footer="0" w:header="0"/>
        </w:sectPr>
      </w:pPr>
    </w:p>
    <w:bookmarkStart w:id="338" w:name="page339"/>
    <w:bookmarkEnd w:id="338"/>
    <w:p>
      <w:pPr>
        <w:spacing w:after="0" w:line="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knowingly and voluntarily sign this Agreement as of the date(s) set forth below:</w:t>
      </w:r>
    </w:p>
    <w:p>
      <w:pPr>
        <w:spacing w:after="0" w:line="200" w:lineRule="exact"/>
        <w:rPr>
          <w:sz w:val="20"/>
          <w:szCs w:val="20"/>
          <w:color w:val="auto"/>
        </w:rPr>
      </w:pPr>
    </w:p>
    <w:p>
      <w:pPr>
        <w:spacing w:after="0" w:line="218" w:lineRule="exact"/>
        <w:rPr>
          <w:sz w:val="20"/>
          <w:szCs w:val="20"/>
          <w:color w:val="auto"/>
        </w:rPr>
      </w:pPr>
    </w:p>
    <w:p>
      <w:pPr>
        <w:jc w:val="right"/>
        <w:ind w:right="899"/>
        <w:spacing w:after="0"/>
        <w:rPr>
          <w:sz w:val="20"/>
          <w:szCs w:val="20"/>
          <w:color w:val="auto"/>
        </w:rPr>
      </w:pPr>
      <w:r>
        <w:rPr>
          <w:rFonts w:ascii="Arial" w:cs="Arial" w:eastAsia="Arial" w:hAnsi="Arial"/>
          <w:sz w:val="20"/>
          <w:szCs w:val="20"/>
          <w:color w:val="auto"/>
        </w:rPr>
        <w:t>THE HAIN CELESTIAL GROUP, INC.</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r>
              <w:rPr>
                <w:rFonts w:ascii="Arial" w:cs="Arial" w:eastAsia="Arial" w:hAnsi="Arial"/>
                <w:sz w:val="20"/>
                <w:szCs w:val="20"/>
                <w:color w:val="auto"/>
                <w:w w:val="97"/>
              </w:rPr>
              <w:t>/s/ Wendy P. Davidson</w:t>
            </w:r>
          </w:p>
        </w:tc>
        <w:tc>
          <w:tcPr>
            <w:tcW w:w="3580" w:type="dxa"/>
            <w:vAlign w:val="bottom"/>
          </w:tcPr>
          <w:p>
            <w:pPr>
              <w:ind w:left="3060"/>
              <w:spacing w:after="0"/>
              <w:rPr>
                <w:sz w:val="20"/>
                <w:szCs w:val="20"/>
                <w:color w:val="auto"/>
              </w:rPr>
            </w:pPr>
            <w:r>
              <w:rPr>
                <w:rFonts w:ascii="Arial" w:cs="Arial" w:eastAsia="Arial" w:hAnsi="Arial"/>
                <w:sz w:val="20"/>
                <w:szCs w:val="20"/>
                <w:color w:val="auto"/>
              </w:rPr>
              <w:t>By:</w:t>
            </w:r>
          </w:p>
        </w:tc>
        <w:tc>
          <w:tcPr>
            <w:tcW w:w="1880" w:type="dxa"/>
            <w:vAlign w:val="bottom"/>
            <w:gridSpan w:val="2"/>
          </w:tcPr>
          <w:p>
            <w:pPr>
              <w:ind w:left="240"/>
              <w:spacing w:after="0"/>
              <w:rPr>
                <w:sz w:val="20"/>
                <w:szCs w:val="20"/>
                <w:color w:val="auto"/>
              </w:rPr>
            </w:pPr>
            <w:r>
              <w:rPr>
                <w:rFonts w:ascii="Arial" w:cs="Arial" w:eastAsia="Arial" w:hAnsi="Arial"/>
                <w:sz w:val="20"/>
                <w:szCs w:val="20"/>
                <w:color w:val="auto"/>
                <w:w w:val="97"/>
              </w:rPr>
              <w:t>_______________</w:t>
            </w:r>
          </w:p>
        </w:tc>
      </w:tr>
      <w:tr>
        <w:trPr>
          <w:trHeight w:val="201"/>
        </w:trPr>
        <w:tc>
          <w:tcPr>
            <w:tcW w:w="200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Wendy P. Davidson</w:t>
            </w:r>
          </w:p>
        </w:tc>
        <w:tc>
          <w:tcPr>
            <w:tcW w:w="3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Dawn M. Zier</w:t>
            </w:r>
          </w:p>
        </w:tc>
      </w:tr>
      <w:tr>
        <w:trPr>
          <w:trHeight w:val="261"/>
        </w:trPr>
        <w:tc>
          <w:tcPr>
            <w:tcW w:w="2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1880" w:type="dxa"/>
            <w:vAlign w:val="bottom"/>
            <w:gridSpan w:val="2"/>
          </w:tcPr>
          <w:p>
            <w:pPr>
              <w:ind w:left="240"/>
              <w:spacing w:after="0"/>
              <w:rPr>
                <w:sz w:val="20"/>
                <w:szCs w:val="20"/>
                <w:color w:val="auto"/>
              </w:rPr>
            </w:pPr>
            <w:r>
              <w:rPr>
                <w:rFonts w:ascii="Arial" w:cs="Arial" w:eastAsia="Arial" w:hAnsi="Arial"/>
                <w:sz w:val="20"/>
                <w:szCs w:val="20"/>
                <w:color w:val="auto"/>
                <w:w w:val="99"/>
              </w:rPr>
              <w:t>Chair of the Board</w:t>
            </w:r>
          </w:p>
        </w:tc>
      </w:tr>
      <w:tr>
        <w:trPr>
          <w:trHeight w:val="432"/>
        </w:trPr>
        <w:tc>
          <w:tcPr>
            <w:tcW w:w="2000" w:type="dxa"/>
            <w:vAlign w:val="bottom"/>
          </w:tcPr>
          <w:p>
            <w:pPr>
              <w:spacing w:after="0"/>
              <w:rPr>
                <w:sz w:val="20"/>
                <w:szCs w:val="20"/>
                <w:color w:val="auto"/>
              </w:rPr>
            </w:pPr>
            <w:r>
              <w:rPr>
                <w:rFonts w:ascii="Arial" w:cs="Arial" w:eastAsia="Arial" w:hAnsi="Arial"/>
                <w:sz w:val="20"/>
                <w:szCs w:val="20"/>
                <w:color w:val="auto"/>
              </w:rPr>
              <w:t>Date: May 21, 2025</w:t>
            </w:r>
          </w:p>
        </w:tc>
        <w:tc>
          <w:tcPr>
            <w:tcW w:w="3580" w:type="dxa"/>
            <w:vAlign w:val="bottom"/>
          </w:tcPr>
          <w:p>
            <w:pPr>
              <w:spacing w:after="0"/>
              <w:rPr>
                <w:sz w:val="24"/>
                <w:szCs w:val="24"/>
                <w:color w:val="auto"/>
              </w:rPr>
            </w:pPr>
          </w:p>
        </w:tc>
        <w:tc>
          <w:tcPr>
            <w:tcW w:w="1880" w:type="dxa"/>
            <w:vAlign w:val="bottom"/>
            <w:gridSpan w:val="2"/>
          </w:tcPr>
          <w:p>
            <w:pPr>
              <w:ind w:left="240"/>
              <w:spacing w:after="0"/>
              <w:rPr>
                <w:sz w:val="20"/>
                <w:szCs w:val="20"/>
                <w:color w:val="auto"/>
              </w:rPr>
            </w:pPr>
            <w:r>
              <w:rPr>
                <w:rFonts w:ascii="Arial" w:cs="Arial" w:eastAsia="Arial" w:hAnsi="Arial"/>
                <w:sz w:val="20"/>
                <w:szCs w:val="20"/>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Separation Agreement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476250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339" w:name="page340"/>
    <w:bookmarkEnd w:id="339"/>
    <w:p>
      <w:pPr>
        <w:spacing w:after="0" w:line="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knowingly and voluntarily sign this Agreement as of the date(s) set forth below:</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9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60" w:type="dxa"/>
            <w:vAlign w:val="bottom"/>
            <w:gridSpan w:val="3"/>
          </w:tcPr>
          <w:p>
            <w:pPr>
              <w:ind w:left="240"/>
              <w:spacing w:after="0"/>
              <w:rPr>
                <w:sz w:val="20"/>
                <w:szCs w:val="20"/>
                <w:color w:val="auto"/>
              </w:rPr>
            </w:pPr>
            <w:r>
              <w:rPr>
                <w:rFonts w:ascii="Arial" w:cs="Arial" w:eastAsia="Arial" w:hAnsi="Arial"/>
                <w:sz w:val="20"/>
                <w:szCs w:val="20"/>
                <w:color w:val="auto"/>
                <w:w w:val="97"/>
              </w:rPr>
              <w:t>THE HAIN CELESTIAL GROUP, INC.</w:t>
            </w:r>
          </w:p>
        </w:tc>
      </w:tr>
      <w:tr>
        <w:trPr>
          <w:trHeight w:val="813"/>
        </w:trPr>
        <w:tc>
          <w:tcPr>
            <w:tcW w:w="3520" w:type="dxa"/>
            <w:vAlign w:val="bottom"/>
            <w:gridSpan w:val="2"/>
          </w:tcPr>
          <w:p>
            <w:pPr>
              <w:spacing w:after="0"/>
              <w:rPr>
                <w:sz w:val="20"/>
                <w:szCs w:val="20"/>
                <w:color w:val="auto"/>
              </w:rPr>
            </w:pPr>
            <w:r>
              <w:rPr>
                <w:rFonts w:ascii="Arial" w:cs="Arial" w:eastAsia="Arial" w:hAnsi="Arial"/>
                <w:sz w:val="20"/>
                <w:szCs w:val="20"/>
                <w:color w:val="auto"/>
              </w:rPr>
              <w:t>__________________</w:t>
            </w:r>
          </w:p>
        </w:tc>
        <w:tc>
          <w:tcPr>
            <w:tcW w:w="2060" w:type="dxa"/>
            <w:vAlign w:val="bottom"/>
          </w:tcPr>
          <w:p>
            <w:pPr>
              <w:ind w:left="1540"/>
              <w:spacing w:after="0"/>
              <w:rPr>
                <w:sz w:val="20"/>
                <w:szCs w:val="20"/>
                <w:color w:val="auto"/>
              </w:rPr>
            </w:pPr>
            <w:r>
              <w:rPr>
                <w:rFonts w:ascii="Arial" w:cs="Arial" w:eastAsia="Arial" w:hAnsi="Arial"/>
                <w:sz w:val="20"/>
                <w:szCs w:val="20"/>
                <w:color w:val="auto"/>
              </w:rPr>
              <w:t>By:</w:t>
            </w:r>
          </w:p>
        </w:tc>
        <w:tc>
          <w:tcPr>
            <w:tcW w:w="3560" w:type="dxa"/>
            <w:vAlign w:val="bottom"/>
            <w:gridSpan w:val="3"/>
          </w:tcPr>
          <w:p>
            <w:pPr>
              <w:ind w:left="240"/>
              <w:spacing w:after="0"/>
              <w:rPr>
                <w:sz w:val="20"/>
                <w:szCs w:val="20"/>
                <w:color w:val="auto"/>
              </w:rPr>
            </w:pPr>
            <w:r>
              <w:rPr>
                <w:rFonts w:ascii="Arial" w:cs="Arial" w:eastAsia="Arial" w:hAnsi="Arial"/>
                <w:sz w:val="20"/>
                <w:szCs w:val="20"/>
                <w:color w:val="auto"/>
              </w:rPr>
              <w:t>/s/ Dawn Zier</w:t>
            </w:r>
          </w:p>
        </w:tc>
      </w:tr>
      <w:tr>
        <w:trPr>
          <w:trHeight w:val="201"/>
        </w:trPr>
        <w:tc>
          <w:tcPr>
            <w:tcW w:w="198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rPr>
              <w:t>Wendy P. Davidson</w:t>
            </w:r>
          </w:p>
        </w:tc>
        <w:tc>
          <w:tcPr>
            <w:tcW w:w="15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line="202" w:lineRule="exact"/>
              <w:rPr>
                <w:sz w:val="20"/>
                <w:szCs w:val="20"/>
                <w:color w:val="auto"/>
              </w:rPr>
            </w:pPr>
            <w:r>
              <w:rPr>
                <w:rFonts w:ascii="Arial" w:cs="Arial" w:eastAsia="Arial" w:hAnsi="Arial"/>
                <w:sz w:val="20"/>
                <w:szCs w:val="20"/>
                <w:color w:val="auto"/>
                <w:w w:val="95"/>
              </w:rPr>
              <w:t>Dawn M. Zier</w:t>
            </w:r>
          </w:p>
        </w:tc>
        <w:tc>
          <w:tcPr>
            <w:tcW w:w="2160" w:type="dxa"/>
            <w:vAlign w:val="bottom"/>
          </w:tcPr>
          <w:p>
            <w:pPr>
              <w:spacing w:after="0"/>
              <w:rPr>
                <w:sz w:val="17"/>
                <w:szCs w:val="17"/>
                <w:color w:val="auto"/>
              </w:rPr>
            </w:pPr>
          </w:p>
        </w:tc>
      </w:tr>
      <w:tr>
        <w:trPr>
          <w:trHeight w:val="261"/>
        </w:trPr>
        <w:tc>
          <w:tcPr>
            <w:tcW w:w="19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60" w:type="dxa"/>
            <w:vAlign w:val="bottom"/>
            <w:gridSpan w:val="3"/>
          </w:tcPr>
          <w:p>
            <w:pPr>
              <w:ind w:left="240"/>
              <w:spacing w:after="0"/>
              <w:rPr>
                <w:sz w:val="20"/>
                <w:szCs w:val="20"/>
                <w:color w:val="auto"/>
              </w:rPr>
            </w:pPr>
            <w:r>
              <w:rPr>
                <w:rFonts w:ascii="Arial" w:cs="Arial" w:eastAsia="Arial" w:hAnsi="Arial"/>
                <w:sz w:val="20"/>
                <w:szCs w:val="20"/>
                <w:color w:val="auto"/>
              </w:rPr>
              <w:t>Chair of the Board</w:t>
            </w:r>
          </w:p>
        </w:tc>
      </w:tr>
      <w:tr>
        <w:trPr>
          <w:trHeight w:val="432"/>
        </w:trPr>
        <w:tc>
          <w:tcPr>
            <w:tcW w:w="3520" w:type="dxa"/>
            <w:vAlign w:val="bottom"/>
            <w:gridSpan w:val="2"/>
          </w:tcPr>
          <w:p>
            <w:pPr>
              <w:spacing w:after="0"/>
              <w:rPr>
                <w:sz w:val="20"/>
                <w:szCs w:val="20"/>
                <w:color w:val="auto"/>
              </w:rPr>
            </w:pPr>
            <w:r>
              <w:rPr>
                <w:rFonts w:ascii="Arial" w:cs="Arial" w:eastAsia="Arial" w:hAnsi="Arial"/>
                <w:sz w:val="20"/>
                <w:szCs w:val="20"/>
                <w:color w:val="auto"/>
              </w:rPr>
              <w:t>Date:</w:t>
            </w:r>
          </w:p>
        </w:tc>
        <w:tc>
          <w:tcPr>
            <w:tcW w:w="2060" w:type="dxa"/>
            <w:vAlign w:val="bottom"/>
          </w:tcPr>
          <w:p>
            <w:pPr>
              <w:spacing w:after="0"/>
              <w:rPr>
                <w:sz w:val="24"/>
                <w:szCs w:val="24"/>
                <w:color w:val="auto"/>
              </w:rPr>
            </w:pPr>
          </w:p>
        </w:tc>
        <w:tc>
          <w:tcPr>
            <w:tcW w:w="3560" w:type="dxa"/>
            <w:vAlign w:val="bottom"/>
            <w:gridSpan w:val="3"/>
          </w:tcPr>
          <w:p>
            <w:pPr>
              <w:ind w:left="240"/>
              <w:spacing w:after="0"/>
              <w:rPr>
                <w:sz w:val="20"/>
                <w:szCs w:val="20"/>
                <w:color w:val="auto"/>
              </w:rPr>
            </w:pPr>
            <w:r>
              <w:rPr>
                <w:rFonts w:ascii="Arial" w:cs="Arial" w:eastAsia="Arial" w:hAnsi="Arial"/>
                <w:sz w:val="20"/>
                <w:szCs w:val="20"/>
                <w:color w:val="auto"/>
              </w:rPr>
              <w:t>Date: May 21, 2025</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[Signature Page to Separation Agreement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476250</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39"/>
          </w:cols>
          <w:pgMar w:left="420" w:top="1440" w:right="1440"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Hain Celestial Group, Inc.</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Insider Trading Policy</w:t>
      </w:r>
    </w:p>
    <w:p>
      <w:pPr>
        <w:spacing w:after="0" w:line="228"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This Insider Trading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of The Hain Celestial Group, Inc. (together with its subsidiaries, “</w:t>
      </w:r>
      <w:r>
        <w:rPr>
          <w:rFonts w:ascii="Times New Roman" w:cs="Times New Roman" w:eastAsia="Times New Roman" w:hAnsi="Times New Roman"/>
          <w:sz w:val="20"/>
          <w:szCs w:val="20"/>
          <w:u w:val="single" w:color="auto"/>
          <w:color w:val="auto"/>
        </w:rPr>
        <w:t>Hain Celestial</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was amended and restated by the Board of Directors of the Company effective September 3, 2025.</w:t>
      </w:r>
    </w:p>
    <w:p>
      <w:pPr>
        <w:spacing w:after="0" w:line="169" w:lineRule="exact"/>
        <w:rPr>
          <w:sz w:val="20"/>
          <w:szCs w:val="20"/>
          <w:color w:val="auto"/>
        </w:rPr>
      </w:pPr>
    </w:p>
    <w:p>
      <w:pPr>
        <w:ind w:left="1160" w:hanging="403"/>
        <w:spacing w:after="0"/>
        <w:tabs>
          <w:tab w:leader="none" w:pos="1160" w:val="left"/>
        </w:tabs>
        <w:numPr>
          <w:ilvl w:val="0"/>
          <w:numId w:val="3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Purpose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Strict laws and regulations in the United States and other countries prohibit the trading of securities based on material non-public information (also known as “</w:t>
      </w:r>
      <w:r>
        <w:rPr>
          <w:rFonts w:ascii="Times New Roman" w:cs="Times New Roman" w:eastAsia="Times New Roman" w:hAnsi="Times New Roman"/>
          <w:sz w:val="20"/>
          <w:szCs w:val="20"/>
          <w:u w:val="single" w:color="auto"/>
          <w:color w:val="auto"/>
        </w:rPr>
        <w:t>insider trading</w:t>
      </w:r>
      <w:r>
        <w:rPr>
          <w:rFonts w:ascii="Times New Roman" w:cs="Times New Roman" w:eastAsia="Times New Roman" w:hAnsi="Times New Roman"/>
          <w:sz w:val="20"/>
          <w:szCs w:val="20"/>
          <w:color w:val="auto"/>
        </w:rPr>
        <w:t>”). In the United States, these laws are vigorously enforced by the Securities and Exchange Commission (the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and by criminal prosecutors at both the federal and state levels. These laws require that publicly traded companies adopt and disclose clear policies on insider trading.</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Hain Celestial works hard to maintain its reputation for integrity and ethical conduct. The Company is adopting this Policy to avoid even the appearance of improper conduct on the part of anyone employed by or associated with the Company with respect to insider trading. We are circulating this Policy to you to help ensure that you are aware of your personal responsibilities under the securities laws.</w:t>
      </w:r>
    </w:p>
    <w:p>
      <w:pPr>
        <w:spacing w:after="0" w:line="184" w:lineRule="exact"/>
        <w:rPr>
          <w:sz w:val="20"/>
          <w:szCs w:val="20"/>
          <w:color w:val="auto"/>
        </w:rPr>
      </w:pPr>
    </w:p>
    <w:p>
      <w:pPr>
        <w:ind w:left="1160" w:hanging="403"/>
        <w:spacing w:after="0"/>
        <w:tabs>
          <w:tab w:leader="none" w:pos="1160" w:val="left"/>
        </w:tabs>
        <w:numPr>
          <w:ilvl w:val="0"/>
          <w:numId w:val="3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Coverage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Policy applies to all directors, officers, employees (including full-time employees and part-time employees), and temporary workers of the Company whether or not such persons are inside or outside the United States, and to all their family members (as defined below) (collectively, “</w:t>
      </w:r>
      <w:r>
        <w:rPr>
          <w:rFonts w:ascii="Times New Roman" w:cs="Times New Roman" w:eastAsia="Times New Roman" w:hAnsi="Times New Roman"/>
          <w:sz w:val="20"/>
          <w:szCs w:val="20"/>
          <w:u w:val="single" w:color="auto"/>
          <w:color w:val="auto"/>
        </w:rPr>
        <w:t>Insiders</w:t>
      </w:r>
      <w:r>
        <w:rPr>
          <w:rFonts w:ascii="Times New Roman" w:cs="Times New Roman" w:eastAsia="Times New Roman" w:hAnsi="Times New Roman"/>
          <w:sz w:val="20"/>
          <w:szCs w:val="20"/>
          <w:color w:val="auto"/>
        </w:rPr>
        <w:t>”). Persons subject to this Policy are responsible for ensuring that family members comply with this Policy. Finally, this Policy applies to all trusts, corporations and other entities controlled by any Insider.</w:t>
      </w:r>
    </w:p>
    <w:p>
      <w:pPr>
        <w:spacing w:after="0" w:line="189" w:lineRule="exact"/>
        <w:rPr>
          <w:sz w:val="20"/>
          <w:szCs w:val="20"/>
          <w:color w:val="auto"/>
        </w:rPr>
      </w:pPr>
    </w:p>
    <w:p>
      <w:pPr>
        <w:ind w:left="1160" w:hanging="403"/>
        <w:spacing w:after="0"/>
        <w:tabs>
          <w:tab w:leader="none" w:pos="1160" w:val="left"/>
        </w:tabs>
        <w:numPr>
          <w:ilvl w:val="0"/>
          <w:numId w:val="3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Policy</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General Prohibition</w:t>
      </w:r>
      <w:r>
        <w:rPr>
          <w:rFonts w:ascii="Times New Roman" w:cs="Times New Roman" w:eastAsia="Times New Roman" w:hAnsi="Times New Roman"/>
          <w:sz w:val="20"/>
          <w:szCs w:val="20"/>
          <w:color w:val="auto"/>
        </w:rPr>
        <w:t>. It is the policy of the Company that the Company and its directors, officers and employees comply with all federal and state securities laws and regulations applicable to the purchase and sale of the Company’s securities. There will be no trading permitted at any time based upon material non-public information in any Company securities or the securities of any other company with which Hain Celestial interacts, including customers, partners, vendors or other entities. It is the responsibility of the Insider to be certain that he or she does not have material non-public information when determining to trade.</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Terms used in this Policy are defined as set forth immediately below.</w:t>
      </w:r>
    </w:p>
    <w:p>
      <w:pPr>
        <w:spacing w:after="0" w:line="243" w:lineRule="exact"/>
        <w:rPr>
          <w:sz w:val="20"/>
          <w:szCs w:val="20"/>
          <w:color w:val="auto"/>
        </w:rPr>
      </w:pPr>
    </w:p>
    <w:p>
      <w:pPr>
        <w:jc w:val="both"/>
        <w:ind w:left="1500" w:hanging="369"/>
        <w:spacing w:after="0" w:line="246" w:lineRule="auto"/>
        <w:tabs>
          <w:tab w:leader="none" w:pos="1500" w:val="left"/>
        </w:tabs>
        <w:numPr>
          <w:ilvl w:val="0"/>
          <w:numId w:val="306"/>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Trading</w:t>
      </w:r>
      <w:r>
        <w:rPr>
          <w:rFonts w:ascii="Times New Roman" w:cs="Times New Roman" w:eastAsia="Times New Roman" w:hAnsi="Times New Roman"/>
          <w:sz w:val="20"/>
          <w:szCs w:val="20"/>
          <w:color w:val="auto"/>
        </w:rPr>
        <w:t>. The definition of trading, for purposes of this Policy, shall include any purchase, sale, or hedging transaction, of any public or private security, effected through any worldwide market or exchange, including any derivatives market or exchange, enabling the purchase, sale or hedging of such securities. Trading also includes, but is not limited to, other transactions such as derivative exercises, gifts or other contributions, pledges, and trades made under an employee benefit plan.</w:t>
      </w:r>
    </w:p>
    <w:p>
      <w:pPr>
        <w:spacing w:after="0" w:line="211" w:lineRule="exact"/>
        <w:rPr>
          <w:rFonts w:ascii="MS PGothic" w:cs="MS PGothic" w:eastAsia="MS PGothic" w:hAnsi="MS PGothic"/>
          <w:sz w:val="20"/>
          <w:szCs w:val="20"/>
          <w:color w:val="auto"/>
        </w:rPr>
      </w:pPr>
    </w:p>
    <w:p>
      <w:pPr>
        <w:ind w:left="1500" w:hanging="369"/>
        <w:spacing w:after="0" w:line="269" w:lineRule="auto"/>
        <w:tabs>
          <w:tab w:leader="none" w:pos="1500" w:val="left"/>
        </w:tabs>
        <w:numPr>
          <w:ilvl w:val="0"/>
          <w:numId w:val="306"/>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The definition of a security, for purposes of this Policy, shall include, but not be limited to, publicly and privately issued common shares, preferred stock,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1" w:name="page342"/>
    <w:bookmarkEnd w:id="341"/>
    <w:p>
      <w:pPr>
        <w:spacing w:after="0" w:line="149"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depository receipts, warrants, debt, leases, letters of credit, commercial paper or other money market instruments, convertible securities, put and/or call, options and any other relevant derivative instrument in existence currently or in the future.</w:t>
      </w:r>
    </w:p>
    <w:p>
      <w:pPr>
        <w:spacing w:after="0" w:line="201" w:lineRule="exact"/>
        <w:rPr>
          <w:sz w:val="20"/>
          <w:szCs w:val="20"/>
          <w:color w:val="auto"/>
        </w:rPr>
      </w:pPr>
    </w:p>
    <w:p>
      <w:pPr>
        <w:jc w:val="both"/>
        <w:ind w:left="380" w:hanging="369"/>
        <w:spacing w:after="0" w:line="249" w:lineRule="auto"/>
        <w:tabs>
          <w:tab w:leader="none" w:pos="380" w:val="left"/>
        </w:tabs>
        <w:numPr>
          <w:ilvl w:val="0"/>
          <w:numId w:val="307"/>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Material non-public information</w:t>
      </w:r>
      <w:r>
        <w:rPr>
          <w:rFonts w:ascii="Times New Roman" w:cs="Times New Roman" w:eastAsia="Times New Roman" w:hAnsi="Times New Roman"/>
          <w:sz w:val="20"/>
          <w:szCs w:val="20"/>
          <w:color w:val="auto"/>
        </w:rPr>
        <w:t>. The definition of material non-public information, for purposes of this Policy, shall be any information, favorable, non-favorable or otherwise, that a reasonable investor would consider important in making a decision to evaluate, purchase, hold or sell Company securities and which has not been publicly disclosed by the Company. Some examples of material information may include, but are not limited to:</w:t>
      </w:r>
    </w:p>
    <w:p>
      <w:pPr>
        <w:spacing w:after="0" w:line="193" w:lineRule="exact"/>
        <w:rPr>
          <w:rFonts w:ascii="MS PGothic" w:cs="MS PGothic" w:eastAsia="MS PGothic" w:hAnsi="MS PGothic"/>
          <w:sz w:val="20"/>
          <w:szCs w:val="20"/>
          <w:color w:val="auto"/>
        </w:rPr>
      </w:pPr>
    </w:p>
    <w:p>
      <w:pPr>
        <w:ind w:left="760" w:hanging="375"/>
        <w:spacing w:after="0" w:line="250" w:lineRule="auto"/>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projections of future earnings or losses, especially earnings guidance, and confirmations of or changes to previously released earnings results, estimates or guidance, or other performance-related measures or metrics;</w:t>
      </w:r>
    </w:p>
    <w:p>
      <w:pPr>
        <w:spacing w:after="0" w:line="1" w:lineRule="exact"/>
        <w:rPr>
          <w:rFonts w:ascii="Times New Roman" w:cs="Times New Roman" w:eastAsia="Times New Roman" w:hAnsi="Times New Roman"/>
          <w:sz w:val="18"/>
          <w:szCs w:val="18"/>
          <w:color w:val="313131"/>
        </w:rPr>
      </w:pP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earnings that are inconsistent with the consensus expectations of the investment community;</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a pending or proposed merger, acquisition, joint venture or tender offer;</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a pending or proposed sale of assets or the disposition of a subsidiary;</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changes in dividend policies or the declaration of a stock split, stock dividend or the offering of additional securities;</w:t>
      </w:r>
    </w:p>
    <w:p>
      <w:pPr>
        <w:jc w:val="both"/>
        <w:ind w:left="760" w:hanging="375"/>
        <w:spacing w:after="0" w:line="239" w:lineRule="auto"/>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financings and other events regarding the Company’s debt instruments and debt or equity securities (e.g., defaults, calls of securities for redemption, refinancings, share repurchase plans, stock splits, and public or private sales of securities);</w:t>
      </w:r>
    </w:p>
    <w:p>
      <w:pPr>
        <w:spacing w:after="0" w:line="1" w:lineRule="exact"/>
        <w:rPr>
          <w:rFonts w:ascii="Times New Roman" w:cs="Times New Roman" w:eastAsia="Times New Roman" w:hAnsi="Times New Roman"/>
          <w:sz w:val="18"/>
          <w:szCs w:val="18"/>
          <w:color w:val="313131"/>
        </w:rPr>
      </w:pP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changes in, or initiation of, material litigation or governmental investigation matters;</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changes in executive management;</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significant changes in compensation policy;</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development of significant new products or discoveries or delays in new product introduction or development;</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significant developments with respect to licenses, contracts or intellectual property matters;</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significant regulatory actions, including those concerning products or potential products;</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impending layoffs, furloughs, bankruptcy or financial liquidity problems;</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the gain or loss of a significant customer, supplier, manufacturer, collaborator or partner;</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possible proxy fights;</w:t>
      </w:r>
    </w:p>
    <w:p>
      <w:pPr>
        <w:ind w:left="760" w:hanging="375"/>
        <w:spacing w:after="0" w:line="239" w:lineRule="auto"/>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changes in, or disagreements with, auditors or notifications that the Company may no longer rely on such firm’s report;</w:t>
      </w:r>
    </w:p>
    <w:p>
      <w:pPr>
        <w:ind w:left="760" w:right="20" w:hanging="375"/>
        <w:spacing w:after="0" w:line="239" w:lineRule="auto"/>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a significant disruption in the Company’s operations or loss of its property or assets, including its facilities, data and information technology infrastructure;</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significant cybersecurity and privacy incidents or events; and</w:t>
      </w:r>
    </w:p>
    <w:p>
      <w:pPr>
        <w:ind w:left="760" w:hanging="375"/>
        <w:spacing w:after="0"/>
        <w:tabs>
          <w:tab w:leader="none" w:pos="760" w:val="left"/>
        </w:tabs>
        <w:numPr>
          <w:ilvl w:val="1"/>
          <w:numId w:val="307"/>
        </w:numPr>
        <w:rPr>
          <w:rFonts w:ascii="Times New Roman" w:cs="Times New Roman" w:eastAsia="Times New Roman" w:hAnsi="Times New Roman"/>
          <w:sz w:val="18"/>
          <w:szCs w:val="18"/>
          <w:color w:val="313131"/>
        </w:rPr>
      </w:pPr>
      <w:r>
        <w:rPr>
          <w:rFonts w:ascii="Times New Roman" w:cs="Times New Roman" w:eastAsia="Times New Roman" w:hAnsi="Times New Roman"/>
          <w:sz w:val="20"/>
          <w:szCs w:val="20"/>
          <w:color w:val="auto"/>
        </w:rPr>
        <w:t>any other information which could reasonably affect the price of any Company securities.</w:t>
      </w:r>
    </w:p>
    <w:p>
      <w:pPr>
        <w:spacing w:after="0" w:line="220" w:lineRule="exact"/>
        <w:rPr>
          <w:rFonts w:ascii="Times New Roman" w:cs="Times New Roman" w:eastAsia="Times New Roman" w:hAnsi="Times New Roman"/>
          <w:sz w:val="18"/>
          <w:szCs w:val="18"/>
          <w:color w:val="313131"/>
        </w:rPr>
      </w:pPr>
    </w:p>
    <w:p>
      <w:pPr>
        <w:jc w:val="both"/>
        <w:ind w:left="380" w:hanging="369"/>
        <w:spacing w:after="0" w:line="244" w:lineRule="auto"/>
        <w:tabs>
          <w:tab w:leader="none" w:pos="380" w:val="left"/>
        </w:tabs>
        <w:numPr>
          <w:ilvl w:val="0"/>
          <w:numId w:val="307"/>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Publicly disclosed by the Company</w:t>
      </w:r>
      <w:r>
        <w:rPr>
          <w:rFonts w:ascii="Times New Roman" w:cs="Times New Roman" w:eastAsia="Times New Roman" w:hAnsi="Times New Roman"/>
          <w:sz w:val="20"/>
          <w:szCs w:val="20"/>
          <w:color w:val="auto"/>
        </w:rPr>
        <w:t>. For purposes of this Policy, information has not been “publicly disclosed by the Company” unless the information has been distributed by the Company or an authorized executive in a widely disseminated manner designed to reach investors generally (for instance, in a press release that has been distributed through a news or wire service, or in an 8-K filing), and investors have been given the opportunity to absorb the information. In general, information should not be considered fully absorbed by the marketplace (and thus no longer non-public) until two full trading days have elapsed after the information is released. For example, if the Company announces material non-public</w:t>
      </w: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593090</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42" w:name="page343"/>
    <w:bookmarkEnd w:id="342"/>
    <w:p>
      <w:pPr>
        <w:spacing w:after="0" w:line="149" w:lineRule="exact"/>
        <w:rPr>
          <w:sz w:val="20"/>
          <w:szCs w:val="20"/>
          <w:color w:val="auto"/>
        </w:rPr>
      </w:pPr>
    </w:p>
    <w:p>
      <w:pPr>
        <w:jc w:val="both"/>
        <w:ind w:left="1500"/>
        <w:spacing w:after="0" w:line="246" w:lineRule="auto"/>
        <w:rPr>
          <w:sz w:val="20"/>
          <w:szCs w:val="20"/>
          <w:color w:val="auto"/>
        </w:rPr>
      </w:pPr>
      <w:r>
        <w:rPr>
          <w:rFonts w:ascii="Times New Roman" w:cs="Times New Roman" w:eastAsia="Times New Roman" w:hAnsi="Times New Roman"/>
          <w:sz w:val="20"/>
          <w:szCs w:val="20"/>
          <w:color w:val="auto"/>
        </w:rPr>
        <w:t>information before market open on a Thursday, then you may execute a trade in securities of the Company on the following Monday; if the Company announces material non-public information after market close on a Thursday, then you may execute a trade in securities of the Company on the following Tuesday. Please refer any questions about whether material information is “material” or non-public to the Company’s chief legal officer/general counsel (“</w:t>
      </w:r>
      <w:r>
        <w:rPr>
          <w:rFonts w:ascii="Times New Roman" w:cs="Times New Roman" w:eastAsia="Times New Roman" w:hAnsi="Times New Roman"/>
          <w:sz w:val="20"/>
          <w:szCs w:val="20"/>
          <w:u w:val="single" w:color="auto"/>
          <w:color w:val="auto"/>
        </w:rPr>
        <w:t>Chief 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Officer</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jc w:val="both"/>
        <w:ind w:left="1500" w:hanging="369"/>
        <w:spacing w:after="0" w:line="254" w:lineRule="auto"/>
        <w:tabs>
          <w:tab w:leader="none" w:pos="1500" w:val="left"/>
        </w:tabs>
        <w:numPr>
          <w:ilvl w:val="0"/>
          <w:numId w:val="308"/>
        </w:numPr>
        <w:rPr>
          <w:rFonts w:ascii="MS PGothic" w:cs="MS PGothic" w:eastAsia="MS PGothic" w:hAnsi="MS PGothic"/>
          <w:sz w:val="20"/>
          <w:szCs w:val="20"/>
          <w:color w:val="auto"/>
        </w:rPr>
      </w:pPr>
      <w:r>
        <w:rPr>
          <w:rFonts w:ascii="Times New Roman" w:cs="Times New Roman" w:eastAsia="Times New Roman" w:hAnsi="Times New Roman"/>
          <w:sz w:val="20"/>
          <w:szCs w:val="20"/>
          <w:u w:val="single" w:color="auto"/>
          <w:color w:val="auto"/>
        </w:rPr>
        <w:t>Family member</w:t>
      </w:r>
      <w:r>
        <w:rPr>
          <w:rFonts w:ascii="Times New Roman" w:cs="Times New Roman" w:eastAsia="Times New Roman" w:hAnsi="Times New Roman"/>
          <w:sz w:val="20"/>
          <w:szCs w:val="20"/>
          <w:color w:val="auto"/>
        </w:rPr>
        <w:t>. The definition of family member includes family members who reside with you, anyone else who lives in your household and any family members who do not live in your household but whose trades in the Company’s securities are directed by you or are subject to your influence or control.</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Tipping information to others</w:t>
      </w:r>
      <w:r>
        <w:rPr>
          <w:rFonts w:ascii="Times New Roman" w:cs="Times New Roman" w:eastAsia="Times New Roman" w:hAnsi="Times New Roman"/>
          <w:sz w:val="20"/>
          <w:szCs w:val="20"/>
          <w:color w:val="auto"/>
        </w:rPr>
        <w:t>. Persons subject to this Policy shall not disclose any material non-public information about the Company or any other company with which Hain Celestial interacts, including customers, partners, vendors or other entities, to other persons. Liability in such cases can extend both to the “tippee” - the person to whom the insider disclosed inside information - and to the “tipper” - the insider himself. These penalties apply whether or not you derive any benefit from someone else’s actions.</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Emergency transactions</w:t>
      </w:r>
      <w:r>
        <w:rPr>
          <w:rFonts w:ascii="Times New Roman" w:cs="Times New Roman" w:eastAsia="Times New Roman" w:hAnsi="Times New Roman"/>
          <w:sz w:val="20"/>
          <w:szCs w:val="20"/>
          <w:color w:val="auto"/>
        </w:rPr>
        <w:t>. Transactions that may be necessary or justifiable for independent reasons (such as the need to raise money for an emergency expenditure) are not exempted from this Policy. Even the appearance of an improper transaction must be avoided to preserve our reputation for adhering to the highest standards of conduct.</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Twenty-twenty hindsight</w:t>
      </w:r>
      <w:r>
        <w:rPr>
          <w:rFonts w:ascii="Times New Roman" w:cs="Times New Roman" w:eastAsia="Times New Roman" w:hAnsi="Times New Roman"/>
          <w:sz w:val="20"/>
          <w:szCs w:val="20"/>
          <w:color w:val="auto"/>
        </w:rPr>
        <w:t>. Remember, if your securities transactions become the subject of scrutiny, they will be viewed after-the-fact with the benefit of twenty-twenty hindsight. As a result, before engaging in any transaction you should carefully consider how regulators and others might view your transaction in hindsight.</w:t>
      </w:r>
    </w:p>
    <w:p>
      <w:pPr>
        <w:spacing w:after="0" w:line="184" w:lineRule="exact"/>
        <w:rPr>
          <w:sz w:val="20"/>
          <w:szCs w:val="20"/>
          <w:color w:val="auto"/>
        </w:rPr>
      </w:pPr>
    </w:p>
    <w:p>
      <w:pPr>
        <w:ind w:left="1160" w:hanging="403"/>
        <w:spacing w:after="0"/>
        <w:tabs>
          <w:tab w:leader="none" w:pos="1160" w:val="left"/>
        </w:tabs>
        <w:numPr>
          <w:ilvl w:val="0"/>
          <w:numId w:val="3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Additional Prohibited Transactions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Persons subject to this Policy shall also not engage in any of the following activities with respect to securities of the Company:</w:t>
      </w:r>
    </w:p>
    <w:p>
      <w:pPr>
        <w:spacing w:after="0" w:line="229" w:lineRule="exact"/>
        <w:rPr>
          <w:sz w:val="20"/>
          <w:szCs w:val="20"/>
          <w:color w:val="auto"/>
        </w:rPr>
      </w:pPr>
    </w:p>
    <w:p>
      <w:pPr>
        <w:jc w:val="both"/>
        <w:ind w:left="1140" w:hanging="383"/>
        <w:spacing w:after="0" w:line="254" w:lineRule="auto"/>
        <w:tabs>
          <w:tab w:leader="none" w:pos="1140" w:val="left"/>
        </w:tabs>
        <w:numPr>
          <w:ilvl w:val="0"/>
          <w:numId w:val="310"/>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auto"/>
        </w:rPr>
        <w:t>Purchases of Company securities on margin</w:t>
      </w:r>
      <w:r>
        <w:rPr>
          <w:rFonts w:ascii="Times New Roman" w:cs="Times New Roman" w:eastAsia="Times New Roman" w:hAnsi="Times New Roman"/>
          <w:sz w:val="20"/>
          <w:szCs w:val="20"/>
          <w:color w:val="auto"/>
        </w:rPr>
        <w:t>. This means borrowing from a brokerage firm, bank or other entity in order to purchase Company s</w:t>
      </w:r>
      <w:r>
        <w:rPr>
          <w:rFonts w:ascii="Times New Roman" w:cs="Times New Roman" w:eastAsia="Times New Roman" w:hAnsi="Times New Roman"/>
          <w:sz w:val="20"/>
          <w:szCs w:val="20"/>
          <w:u w:val="single" w:color="auto"/>
          <w:color w:val="auto"/>
        </w:rPr>
        <w:t>ecuriti</w:t>
      </w:r>
      <w:r>
        <w:rPr>
          <w:rFonts w:ascii="Times New Roman" w:cs="Times New Roman" w:eastAsia="Times New Roman" w:hAnsi="Times New Roman"/>
          <w:sz w:val="20"/>
          <w:szCs w:val="20"/>
          <w:color w:val="auto"/>
        </w:rPr>
        <w:t>es (other than in connection with a so-called “cashless” exercise of options under the Company’s incentive award plans).</w:t>
      </w:r>
    </w:p>
    <w:p>
      <w:pPr>
        <w:spacing w:after="0" w:line="187" w:lineRule="exact"/>
        <w:rPr>
          <w:rFonts w:ascii="Times New Roman" w:cs="Times New Roman" w:eastAsia="Times New Roman" w:hAnsi="Times New Roman"/>
          <w:sz w:val="18"/>
          <w:szCs w:val="18"/>
          <w:color w:val="212121"/>
        </w:rPr>
      </w:pPr>
    </w:p>
    <w:p>
      <w:pPr>
        <w:ind w:left="1140" w:hanging="383"/>
        <w:spacing w:after="0" w:line="269" w:lineRule="auto"/>
        <w:tabs>
          <w:tab w:leader="none" w:pos="1140" w:val="left"/>
        </w:tabs>
        <w:numPr>
          <w:ilvl w:val="0"/>
          <w:numId w:val="310"/>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auto"/>
        </w:rPr>
        <w:t>Borrowing against Company securities</w:t>
      </w:r>
      <w:r>
        <w:rPr>
          <w:rFonts w:ascii="Times New Roman" w:cs="Times New Roman" w:eastAsia="Times New Roman" w:hAnsi="Times New Roman"/>
          <w:sz w:val="20"/>
          <w:szCs w:val="20"/>
          <w:color w:val="auto"/>
        </w:rPr>
        <w:t>. This means holding Company s</w:t>
      </w:r>
      <w:r>
        <w:rPr>
          <w:rFonts w:ascii="Times New Roman" w:cs="Times New Roman" w:eastAsia="Times New Roman" w:hAnsi="Times New Roman"/>
          <w:sz w:val="20"/>
          <w:szCs w:val="20"/>
          <w:u w:val="single" w:color="auto"/>
          <w:color w:val="auto"/>
        </w:rPr>
        <w:t>ecuriti</w:t>
      </w:r>
      <w:r>
        <w:rPr>
          <w:rFonts w:ascii="Times New Roman" w:cs="Times New Roman" w:eastAsia="Times New Roman" w:hAnsi="Times New Roman"/>
          <w:sz w:val="20"/>
          <w:szCs w:val="20"/>
          <w:color w:val="auto"/>
        </w:rPr>
        <w:t>es in margin accounts and borrowing against the value of the Company s</w:t>
      </w:r>
      <w:r>
        <w:rPr>
          <w:rFonts w:ascii="Times New Roman" w:cs="Times New Roman" w:eastAsia="Times New Roman" w:hAnsi="Times New Roman"/>
          <w:sz w:val="20"/>
          <w:szCs w:val="20"/>
          <w:u w:val="single" w:color="auto"/>
          <w:color w:val="auto"/>
        </w:rPr>
        <w:t>ecuriti</w:t>
      </w:r>
      <w:r>
        <w:rPr>
          <w:rFonts w:ascii="Times New Roman" w:cs="Times New Roman" w:eastAsia="Times New Roman" w:hAnsi="Times New Roman"/>
          <w:sz w:val="20"/>
          <w:szCs w:val="20"/>
          <w:color w:val="auto"/>
        </w:rPr>
        <w:t>es or pledging Company s</w:t>
      </w:r>
      <w:r>
        <w:rPr>
          <w:rFonts w:ascii="Times New Roman" w:cs="Times New Roman" w:eastAsia="Times New Roman" w:hAnsi="Times New Roman"/>
          <w:sz w:val="20"/>
          <w:szCs w:val="20"/>
          <w:u w:val="single" w:color="auto"/>
          <w:color w:val="auto"/>
        </w:rPr>
        <w:t>ecuriti</w:t>
      </w:r>
      <w:r>
        <w:rPr>
          <w:rFonts w:ascii="Times New Roman" w:cs="Times New Roman" w:eastAsia="Times New Roman" w:hAnsi="Times New Roman"/>
          <w:sz w:val="20"/>
          <w:szCs w:val="20"/>
          <w:color w:val="auto"/>
        </w:rPr>
        <w:t>es as collateral for a loan.</w:t>
      </w:r>
    </w:p>
    <w:p>
      <w:pPr>
        <w:spacing w:after="0" w:line="172" w:lineRule="exact"/>
        <w:rPr>
          <w:rFonts w:ascii="Times New Roman" w:cs="Times New Roman" w:eastAsia="Times New Roman" w:hAnsi="Times New Roman"/>
          <w:sz w:val="18"/>
          <w:szCs w:val="18"/>
          <w:color w:val="212121"/>
        </w:rPr>
      </w:pPr>
    </w:p>
    <w:p>
      <w:pPr>
        <w:ind w:left="1140" w:hanging="383"/>
        <w:spacing w:after="0" w:line="269" w:lineRule="auto"/>
        <w:tabs>
          <w:tab w:leader="none" w:pos="1140" w:val="left"/>
        </w:tabs>
        <w:numPr>
          <w:ilvl w:val="0"/>
          <w:numId w:val="310"/>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auto"/>
        </w:rPr>
        <w:t>Short sales of Company securities</w:t>
      </w:r>
      <w:r>
        <w:rPr>
          <w:rFonts w:ascii="Times New Roman" w:cs="Times New Roman" w:eastAsia="Times New Roman" w:hAnsi="Times New Roman"/>
          <w:sz w:val="20"/>
          <w:szCs w:val="20"/>
          <w:color w:val="auto"/>
        </w:rPr>
        <w:t>. This involves selling Company s</w:t>
      </w:r>
      <w:r>
        <w:rPr>
          <w:rFonts w:ascii="Times New Roman" w:cs="Times New Roman" w:eastAsia="Times New Roman" w:hAnsi="Times New Roman"/>
          <w:sz w:val="20"/>
          <w:szCs w:val="20"/>
          <w:u w:val="single" w:color="auto"/>
          <w:color w:val="auto"/>
        </w:rPr>
        <w:t>ecuriti</w:t>
      </w:r>
      <w:r>
        <w:rPr>
          <w:rFonts w:ascii="Times New Roman" w:cs="Times New Roman" w:eastAsia="Times New Roman" w:hAnsi="Times New Roman"/>
          <w:sz w:val="20"/>
          <w:szCs w:val="20"/>
          <w:color w:val="auto"/>
        </w:rPr>
        <w:t>es you do not currently own in the expectation that the price of the securities will fall, or as part of a hedge or arbitrage transaction.</w:t>
      </w:r>
    </w:p>
    <w:p>
      <w:pPr>
        <w:spacing w:after="0" w:line="172" w:lineRule="exact"/>
        <w:rPr>
          <w:rFonts w:ascii="Times New Roman" w:cs="Times New Roman" w:eastAsia="Times New Roman" w:hAnsi="Times New Roman"/>
          <w:sz w:val="18"/>
          <w:szCs w:val="18"/>
          <w:color w:val="212121"/>
        </w:rPr>
      </w:pPr>
    </w:p>
    <w:p>
      <w:pPr>
        <w:jc w:val="both"/>
        <w:ind w:left="1140" w:hanging="383"/>
        <w:spacing w:after="0" w:line="254" w:lineRule="auto"/>
        <w:tabs>
          <w:tab w:leader="none" w:pos="1140" w:val="left"/>
        </w:tabs>
        <w:numPr>
          <w:ilvl w:val="0"/>
          <w:numId w:val="310"/>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auto"/>
        </w:rPr>
        <w:t>Buying or selling put or call options on Company securities, or entering into other derivative contracts or hedging transactions</w:t>
      </w:r>
      <w:r>
        <w:rPr>
          <w:rFonts w:ascii="Times New Roman" w:cs="Times New Roman" w:eastAsia="Times New Roman" w:hAnsi="Times New Roman"/>
          <w:sz w:val="20"/>
          <w:szCs w:val="20"/>
          <w:color w:val="auto"/>
        </w:rPr>
        <w:t>. This includes options trading on any of the stock exchanges or futures exchanges, as well as customized derivative or hedging transactions with third parties.</w:t>
      </w:r>
    </w:p>
    <w:p>
      <w:pPr>
        <w:spacing w:after="0" w:line="187" w:lineRule="exact"/>
        <w:rPr>
          <w:rFonts w:ascii="Times New Roman" w:cs="Times New Roman" w:eastAsia="Times New Roman" w:hAnsi="Times New Roman"/>
          <w:sz w:val="18"/>
          <w:szCs w:val="18"/>
          <w:color w:val="212121"/>
        </w:rPr>
      </w:pPr>
    </w:p>
    <w:p>
      <w:pPr>
        <w:ind w:left="1140" w:hanging="383"/>
        <w:spacing w:after="0"/>
        <w:tabs>
          <w:tab w:leader="none" w:pos="1140" w:val="left"/>
        </w:tabs>
        <w:numPr>
          <w:ilvl w:val="0"/>
          <w:numId w:val="310"/>
        </w:numPr>
        <w:rPr>
          <w:rFonts w:ascii="Times New Roman" w:cs="Times New Roman" w:eastAsia="Times New Roman" w:hAnsi="Times New Roman"/>
          <w:sz w:val="18"/>
          <w:szCs w:val="18"/>
          <w:color w:val="212121"/>
        </w:rPr>
      </w:pPr>
      <w:r>
        <w:rPr>
          <w:rFonts w:ascii="Times New Roman" w:cs="Times New Roman" w:eastAsia="Times New Roman" w:hAnsi="Times New Roman"/>
          <w:sz w:val="20"/>
          <w:szCs w:val="20"/>
          <w:u w:val="single" w:color="auto"/>
          <w:color w:val="auto"/>
        </w:rPr>
        <w:t>Managed accounts</w:t>
      </w:r>
      <w:r>
        <w:rPr>
          <w:rFonts w:ascii="Times New Roman" w:cs="Times New Roman" w:eastAsia="Times New Roman" w:hAnsi="Times New Roman"/>
          <w:sz w:val="20"/>
          <w:szCs w:val="20"/>
          <w:color w:val="auto"/>
        </w:rPr>
        <w:t>. If you have a managed account (where another person has been given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49" w:lineRule="exact"/>
        <w:rPr>
          <w:sz w:val="20"/>
          <w:szCs w:val="20"/>
          <w:color w:val="auto"/>
        </w:rPr>
      </w:pPr>
    </w:p>
    <w:p>
      <w:pPr>
        <w:ind w:left="1140"/>
        <w:spacing w:after="0" w:line="269" w:lineRule="auto"/>
        <w:rPr>
          <w:sz w:val="20"/>
          <w:szCs w:val="20"/>
          <w:color w:val="auto"/>
        </w:rPr>
      </w:pPr>
      <w:r>
        <w:rPr>
          <w:rFonts w:ascii="Times New Roman" w:cs="Times New Roman" w:eastAsia="Times New Roman" w:hAnsi="Times New Roman"/>
          <w:sz w:val="20"/>
          <w:szCs w:val="20"/>
          <w:color w:val="auto"/>
        </w:rPr>
        <w:t>discretion or authority to trade without your prior approval), you must advise your broker or investment advisor not to trade in Company securities at any time.</w:t>
      </w:r>
    </w:p>
    <w:p>
      <w:pPr>
        <w:spacing w:after="0" w:line="169" w:lineRule="exact"/>
        <w:rPr>
          <w:sz w:val="20"/>
          <w:szCs w:val="20"/>
          <w:color w:val="auto"/>
        </w:rPr>
      </w:pPr>
    </w:p>
    <w:p>
      <w:pPr>
        <w:ind w:left="1160" w:hanging="403"/>
        <w:spacing w:after="0"/>
        <w:tabs>
          <w:tab w:leader="none" w:pos="1160" w:val="left"/>
        </w:tabs>
        <w:numPr>
          <w:ilvl w:val="0"/>
          <w:numId w:val="3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The Consequences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consequences of insider trading violations can be significant: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For individuals</w:t>
      </w:r>
      <w:r>
        <w:rPr>
          <w:rFonts w:ascii="Times New Roman" w:cs="Times New Roman" w:eastAsia="Times New Roman" w:hAnsi="Times New Roman"/>
          <w:sz w:val="20"/>
          <w:szCs w:val="20"/>
          <w:color w:val="auto"/>
        </w:rPr>
        <w:t xml:space="preserve"> who trade on inside information (or tip information to others):</w:t>
      </w:r>
    </w:p>
    <w:p>
      <w:pPr>
        <w:spacing w:after="0" w:line="229" w:lineRule="exact"/>
        <w:rPr>
          <w:sz w:val="20"/>
          <w:szCs w:val="20"/>
          <w:color w:val="auto"/>
        </w:rPr>
      </w:pPr>
    </w:p>
    <w:p>
      <w:pPr>
        <w:ind w:left="1900" w:hanging="395"/>
        <w:spacing w:after="0"/>
        <w:tabs>
          <w:tab w:leader="none" w:pos="190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up to three times the profit gained or loss avoided;</w:t>
      </w:r>
    </w:p>
    <w:p>
      <w:pPr>
        <w:spacing w:after="0" w:line="2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fine (no matter how small the profit) of up to $5 million; and</w:t>
      </w:r>
    </w:p>
    <w:p>
      <w:pPr>
        <w:ind w:left="1900" w:hanging="395"/>
        <w:spacing w:after="0"/>
        <w:tabs>
          <w:tab w:leader="none" w:pos="1900"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jail term of up to twenty years.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auto"/>
        </w:rPr>
        <w:t>For a company</w:t>
      </w:r>
      <w:r>
        <w:rPr>
          <w:rFonts w:ascii="Times New Roman" w:cs="Times New Roman" w:eastAsia="Times New Roman" w:hAnsi="Times New Roman"/>
          <w:sz w:val="20"/>
          <w:szCs w:val="20"/>
          <w:color w:val="auto"/>
        </w:rPr>
        <w:t xml:space="preserve"> (as well as possibly any supervisory person) that fails to take appropriate steps to prevent illegal trading:</w:t>
      </w:r>
    </w:p>
    <w:p>
      <w:pPr>
        <w:spacing w:after="0" w:line="229" w:lineRule="exact"/>
        <w:rPr>
          <w:sz w:val="20"/>
          <w:szCs w:val="20"/>
          <w:color w:val="auto"/>
        </w:rPr>
      </w:pPr>
    </w:p>
    <w:p>
      <w:pPr>
        <w:ind w:left="1880" w:right="40" w:hanging="375"/>
        <w:spacing w:after="0" w:line="250" w:lineRule="auto"/>
        <w:tabs>
          <w:tab w:leader="none" w:pos="1901"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civil penalty of the greater of $1 million or three times the profit gained or loss avoided as a result of the employee’s violation; and</w:t>
      </w:r>
    </w:p>
    <w:p>
      <w:pPr>
        <w:spacing w:after="0" w:line="1"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criminal penalty of up to $25 million.</w:t>
      </w:r>
    </w:p>
    <w:p>
      <w:pPr>
        <w:spacing w:after="0" w:line="20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Moreover, if an Insider violates this Policy, Company-imposed sanctions, including removal or dismissal for cause, could result. Needless to say, any of the above consequences, even an SEC investigation that does not result in prosecution, can tarnish your reputation, irreparably damage your career, and significantly hurt the reputation and future business prospects of the Company. Finally, remember that there are no limits on the size of a transaction that will trigger insider trading liability. In the past, relatively small trades have resulted in SEC investigations and lawsuits.</w:t>
      </w:r>
    </w:p>
    <w:p>
      <w:pPr>
        <w:spacing w:after="0" w:line="194" w:lineRule="exact"/>
        <w:rPr>
          <w:sz w:val="20"/>
          <w:szCs w:val="20"/>
          <w:color w:val="auto"/>
        </w:rPr>
      </w:pPr>
    </w:p>
    <w:p>
      <w:pPr>
        <w:ind w:left="1160" w:hanging="403"/>
        <w:spacing w:after="0"/>
        <w:tabs>
          <w:tab w:leader="none" w:pos="1160" w:val="left"/>
        </w:tabs>
        <w:numPr>
          <w:ilvl w:val="0"/>
          <w:numId w:val="3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Window Periods and Pre-Clearance of All Trades by Restricted Persons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1160" w:hanging="403"/>
        <w:spacing w:after="0"/>
        <w:tabs>
          <w:tab w:leader="none" w:pos="1160"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Window Periods</w:t>
      </w:r>
    </w:p>
    <w:p>
      <w:pPr>
        <w:spacing w:after="0" w:line="22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To provide assistance in preventing inadvertent violations and avoiding even the appearance of an improper transaction (which could result, for example, where an officer engages in a trade while unaware of a pending major development), we are implementing the following policy with respect to the timing of trading in the Company’s securities for certain Insiders, namely Company directors, officers (as such term is defined in Rule 16a-1 of the Securities Exchange Act of 1934, as amended) and certain other Company-designated individuals, along with their family members and trusts, corporations and other entities controlled by any of such persons (collectively, “</w:t>
      </w:r>
      <w:r>
        <w:rPr>
          <w:rFonts w:ascii="Times New Roman" w:cs="Times New Roman" w:eastAsia="Times New Roman" w:hAnsi="Times New Roman"/>
          <w:sz w:val="19"/>
          <w:szCs w:val="19"/>
          <w:u w:val="single" w:color="auto"/>
          <w:color w:val="auto"/>
        </w:rPr>
        <w:t>Restricted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Persons</w:t>
      </w:r>
      <w:r>
        <w:rPr>
          <w:rFonts w:ascii="Times New Roman" w:cs="Times New Roman" w:eastAsia="Times New Roman" w:hAnsi="Times New Roman"/>
          <w:sz w:val="19"/>
          <w:szCs w:val="19"/>
          <w:color w:val="auto"/>
        </w:rPr>
        <w:t>”). Examples of persons that may be designated by the Company as Restricted Persons include individuals at or above a specified seniority level and individuals who by nature of their job function are more likely to have access to material non-public information.</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Restricted Persons are subject to mandatory controls on the timing of purchases and sales of the Company’s securities. Such transactions (other than the exceptions discussed under subsection B “Treatment of Employee Benefit Plan Transactions” below) may normally occur only during four quarterly “window periods,” which follow the publication of the Company’s financial results.</w:t>
      </w:r>
    </w:p>
    <w:p>
      <w:pPr>
        <w:spacing w:after="0" w:line="18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 xml:space="preserve">Each window period is a period that begins </w:t>
      </w:r>
      <w:r>
        <w:rPr>
          <w:rFonts w:ascii="Times New Roman" w:cs="Times New Roman" w:eastAsia="Times New Roman" w:hAnsi="Times New Roman"/>
          <w:sz w:val="20"/>
          <w:szCs w:val="20"/>
          <w:b w:val="1"/>
          <w:bCs w:val="1"/>
          <w:i w:val="1"/>
          <w:iCs w:val="1"/>
          <w:color w:val="auto"/>
        </w:rPr>
        <w:t>after two full Trading Days following</w:t>
      </w:r>
      <w:r>
        <w:rPr>
          <w:rFonts w:ascii="Times New Roman" w:cs="Times New Roman" w:eastAsia="Times New Roman" w:hAnsi="Times New Roman"/>
          <w:sz w:val="20"/>
          <w:szCs w:val="20"/>
          <w:color w:val="auto"/>
        </w:rPr>
        <w:t xml:space="preserve"> the public release of the Company’s quarterly or annual financial results and terminates at the end of the </w:t>
      </w:r>
      <w:r>
        <w:rPr>
          <w:rFonts w:ascii="Times New Roman" w:cs="Times New Roman" w:eastAsia="Times New Roman" w:hAnsi="Times New Roman"/>
          <w:sz w:val="20"/>
          <w:szCs w:val="20"/>
          <w:b w:val="1"/>
          <w:bCs w:val="1"/>
          <w:i w:val="1"/>
          <w:iCs w:val="1"/>
          <w:color w:val="auto"/>
        </w:rPr>
        <w:t>twenty-first</w:t>
      </w:r>
      <w:r>
        <w:rPr>
          <w:rFonts w:ascii="Times New Roman" w:cs="Times New Roman" w:eastAsia="Times New Roman" w:hAnsi="Times New Roman"/>
          <w:sz w:val="20"/>
          <w:szCs w:val="20"/>
          <w:color w:val="auto"/>
        </w:rPr>
        <w:t xml:space="preserve"> day of the last month in each calendar quarter. For example, if the Company releases its quarterly or annual financial results before market open on a Thursday, the window period would begin on the following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Monday. If the Company releases its quarterly or annual financial results after market close on a Thursday, the window period would begin on the following Tuesday. If the Company releases its quarterly or annual financial results during market hours on a Thursday, the window period would begin on the following Tuesday. The definition of “</w:t>
      </w:r>
      <w:r>
        <w:rPr>
          <w:rFonts w:ascii="Times New Roman" w:cs="Times New Roman" w:eastAsia="Times New Roman" w:hAnsi="Times New Roman"/>
          <w:sz w:val="20"/>
          <w:szCs w:val="20"/>
          <w:u w:val="single" w:color="auto"/>
          <w:color w:val="auto"/>
        </w:rPr>
        <w:t>Trading Day</w:t>
      </w:r>
      <w:r>
        <w:rPr>
          <w:rFonts w:ascii="Times New Roman" w:cs="Times New Roman" w:eastAsia="Times New Roman" w:hAnsi="Times New Roman"/>
          <w:sz w:val="20"/>
          <w:szCs w:val="20"/>
          <w:color w:val="auto"/>
        </w:rPr>
        <w:t>” for purposes of this Policy is any day that The NASDAQ Stock Market is open. Insiders will be advised by the Company’s Chief Legal Officer of the exact beginning and ending dates of each window period.</w:t>
      </w:r>
    </w:p>
    <w:p>
      <w:pPr>
        <w:spacing w:after="0" w:line="19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Additionally, from time to time, the Company may require that certain individuals be prohibited from trading in the Company’s securities, including during a window period, regardless of any other provision of this Policy because of developments that have not yet been disclosed to the public. If the Company determines to close a trading window to which you are subject, then the Company’s Chief Legal Officer will notify you when the window closes and when it reopens. All those affected shall not trade in the Company’s securities while the closed window is in effect and shall not disclose to others inside or outside the Company that trading has been suspended for certain individuals. Although these closed windows generally will arise because the Company is involved in a highly sensitive transaction, incident or event, they may be declared for any reason.</w:t>
      </w:r>
    </w:p>
    <w:p>
      <w:pPr>
        <w:spacing w:after="0" w:line="199" w:lineRule="exact"/>
        <w:rPr>
          <w:sz w:val="20"/>
          <w:szCs w:val="20"/>
          <w:color w:val="auto"/>
        </w:rPr>
      </w:pPr>
    </w:p>
    <w:p>
      <w:pPr>
        <w:jc w:val="both"/>
        <w:ind w:firstLine="762"/>
        <w:spacing w:after="0" w:line="254" w:lineRule="auto"/>
        <w:rPr>
          <w:sz w:val="20"/>
          <w:szCs w:val="20"/>
          <w:color w:val="auto"/>
        </w:rPr>
      </w:pPr>
      <w:r>
        <w:rPr>
          <w:rFonts w:ascii="Times New Roman" w:cs="Times New Roman" w:eastAsia="Times New Roman" w:hAnsi="Times New Roman"/>
          <w:sz w:val="20"/>
          <w:szCs w:val="20"/>
          <w:color w:val="auto"/>
        </w:rPr>
        <w:t>Restricted Persons should note that the window periods are merely times when trading will be permitted absent other factors. The Company may shorten the window period (or eliminate one or more window periods in their entirety) in its discretion, including for all or just certain Restricted Persons. The Company’s Chief Legal Officer shall advise Insiders of any such changes to the window periods.</w:t>
      </w:r>
    </w:p>
    <w:p>
      <w:pPr>
        <w:spacing w:after="0" w:line="184"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Even if the window is open for trading, you may not trade Company securities if you are in possession of material non-public information.</w:t>
      </w:r>
    </w:p>
    <w:p>
      <w:pPr>
        <w:spacing w:after="0" w:line="169" w:lineRule="exact"/>
        <w:rPr>
          <w:sz w:val="20"/>
          <w:szCs w:val="20"/>
          <w:color w:val="auto"/>
        </w:rPr>
      </w:pPr>
    </w:p>
    <w:p>
      <w:pPr>
        <w:ind w:left="1160" w:hanging="403"/>
        <w:spacing w:after="0"/>
        <w:tabs>
          <w:tab w:leader="none" w:pos="116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Treatment of Employee Benefit Plan Transactions</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u w:val="single" w:color="auto"/>
          <w:color w:val="auto"/>
        </w:rPr>
        <w:t>Stock Options</w:t>
      </w:r>
      <w:r>
        <w:rPr>
          <w:rFonts w:ascii="Times New Roman" w:cs="Times New Roman" w:eastAsia="Times New Roman" w:hAnsi="Times New Roman"/>
          <w:sz w:val="20"/>
          <w:szCs w:val="20"/>
          <w:color w:val="auto"/>
        </w:rPr>
        <w:t>. This Policy’s trading restrictions generally do not apply to the cash exercise of an employee stock option, to the surrender of shares to the Company to pay the exercise price of a stock option, or to the withholding of shares by the Company to satisfy tax withholding requirements upon the exercise of an option. The trading restrictions do apply, however, to any sale of the underlying shares upon the exercise of a stock option, and to a cashless exercise of the option through a broker, as this entails selling a portion of the underlying shares to cover the costs of the exercise.</w:t>
      </w:r>
    </w:p>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Restricted Shares</w:t>
      </w:r>
      <w:r>
        <w:rPr>
          <w:rFonts w:ascii="Times New Roman" w:cs="Times New Roman" w:eastAsia="Times New Roman" w:hAnsi="Times New Roman"/>
          <w:sz w:val="20"/>
          <w:szCs w:val="20"/>
          <w:color w:val="auto"/>
        </w:rPr>
        <w:t>. This Policy’s trading restrictions do not apply to the vesting of restricted shares, or to the withholding of shares by the Company from the shares issued under any restricted share award to satisfy tax withholding requirements upon the issuance, vesting or payment pursuant to the restricted share award. These policies do apply, however, to any sales of such restricted shares after they vest.</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Restricted Share Units</w:t>
      </w:r>
      <w:r>
        <w:rPr>
          <w:rFonts w:ascii="Times New Roman" w:cs="Times New Roman" w:eastAsia="Times New Roman" w:hAnsi="Times New Roman"/>
          <w:sz w:val="20"/>
          <w:szCs w:val="20"/>
          <w:color w:val="auto"/>
        </w:rPr>
        <w:t>. This Policy’s trading restrictions do not apply to the settlement of restricted share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for shares of the Company’s common stock or to the withholding of shares by the Company from the shares issued under any RSU award to satisfy tax withholding requirements upon the issuance, vesting or payment pursuant to the RSU award. This Policy’s trading restrictions do apply, however, to any subsequent sales of the shares acquired upon the settlement of RSUs.</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Stock Appreciation Rights</w:t>
      </w:r>
      <w:r>
        <w:rPr>
          <w:rFonts w:ascii="Times New Roman" w:cs="Times New Roman" w:eastAsia="Times New Roman" w:hAnsi="Times New Roman"/>
          <w:sz w:val="20"/>
          <w:szCs w:val="20"/>
          <w:color w:val="auto"/>
        </w:rPr>
        <w:t>. This Policy’s trading restrictions generally do not apply to the exercise of a stock appreciation right (“</w:t>
      </w:r>
      <w:r>
        <w:rPr>
          <w:rFonts w:ascii="Times New Roman" w:cs="Times New Roman" w:eastAsia="Times New Roman" w:hAnsi="Times New Roman"/>
          <w:sz w:val="20"/>
          <w:szCs w:val="20"/>
          <w:u w:val="single" w:color="auto"/>
          <w:color w:val="auto"/>
        </w:rPr>
        <w:t>SAR</w:t>
      </w:r>
      <w:r>
        <w:rPr>
          <w:rFonts w:ascii="Times New Roman" w:cs="Times New Roman" w:eastAsia="Times New Roman" w:hAnsi="Times New Roman"/>
          <w:sz w:val="20"/>
          <w:szCs w:val="20"/>
          <w:color w:val="auto"/>
        </w:rPr>
        <w:t>”), or to the withholding of shares by the Company to satisfy tax withholding requirements upon the exercise of a SAR. The trading restrictions do apply, however, to any sale of the shares delivered in settlement of the SAR.</w:t>
      </w:r>
    </w:p>
    <w:p>
      <w:pPr>
        <w:spacing w:after="0" w:line="188" w:lineRule="exact"/>
        <w:rPr>
          <w:sz w:val="20"/>
          <w:szCs w:val="20"/>
          <w:color w:val="auto"/>
        </w:rPr>
      </w:pPr>
    </w:p>
    <w:p>
      <w:pPr>
        <w:ind w:left="1160" w:hanging="403"/>
        <w:spacing w:after="0"/>
        <w:tabs>
          <w:tab w:leader="none" w:pos="116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Stop Loss Orders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37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Restricted Persons are prohibited from placing any “stop loss” orders or any other open “limit order” involving the Company’s securities, except pursuant to a Trading Plan (as defined and described in Section 8 below). Otherwise, it would be possible for a trade to occur during a time in which material non-public information was known to Restricted Persons.</w:t>
      </w:r>
    </w:p>
    <w:p>
      <w:pPr>
        <w:spacing w:after="0" w:line="188" w:lineRule="exact"/>
        <w:rPr>
          <w:sz w:val="20"/>
          <w:szCs w:val="20"/>
          <w:color w:val="auto"/>
        </w:rPr>
      </w:pPr>
    </w:p>
    <w:p>
      <w:pPr>
        <w:ind w:left="1160" w:hanging="403"/>
        <w:spacing w:after="0"/>
        <w:tabs>
          <w:tab w:leader="none" w:pos="116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Pre-Clearance for Restricted Persons</w:t>
      </w: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Trades in Company securities by Restricted Persons are subject to scrutiny. As a result, to avoid even the appearance of improper conduct on the part of Restricted Persons, </w:t>
      </w:r>
      <w:r>
        <w:rPr>
          <w:rFonts w:ascii="Times New Roman" w:cs="Times New Roman" w:eastAsia="Times New Roman" w:hAnsi="Times New Roman"/>
          <w:sz w:val="20"/>
          <w:szCs w:val="20"/>
          <w:b w:val="1"/>
          <w:bCs w:val="1"/>
          <w:color w:val="auto"/>
        </w:rPr>
        <w:t>all trades in Company securities, including all acquisitions, dispositions and transfers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than the exceptions set forth herein), by Restricted Persons during an open window period must be pre-cleared in writing by the Company’s Chief Legal Officer or their designee. </w:t>
      </w:r>
      <w:r>
        <w:rPr>
          <w:rFonts w:ascii="Times New Roman" w:cs="Times New Roman" w:eastAsia="Times New Roman" w:hAnsi="Times New Roman"/>
          <w:sz w:val="20"/>
          <w:szCs w:val="20"/>
          <w:color w:val="auto"/>
        </w:rPr>
        <w:t>A Restricted Person must submit his or her request for pre-clearance in writing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Chief Legal Officer prior to the requested trade, and the trade may only take place during an open window period and in any event within the effective period of the pre-clearance as specified in the pre-clearance. The written request must also confirm that the Restricted Person is not in possession of material non-public information. Restricted Persons should allow time for the processing of pre-clearance requests, which may take up to two business days to process. Notwithstanding the receipt of pre-clearance, a Restricted Person may not trade in Company securities if the Restricted Person subsequently becomes aware of material non-public information prior to effecting the trade.</w:t>
      </w:r>
    </w:p>
    <w:p>
      <w:pPr>
        <w:spacing w:after="0" w:line="206" w:lineRule="exact"/>
        <w:rPr>
          <w:sz w:val="20"/>
          <w:szCs w:val="20"/>
          <w:color w:val="auto"/>
        </w:rPr>
      </w:pPr>
    </w:p>
    <w:p>
      <w:pPr>
        <w:ind w:left="1160" w:hanging="403"/>
        <w:spacing w:after="0"/>
        <w:tabs>
          <w:tab w:leader="none" w:pos="116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of Status</w:t>
      </w:r>
    </w:p>
    <w:p>
      <w:pPr>
        <w:spacing w:after="0" w:line="22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All Insiders designated as Restricted Persons will receive notice from the Company’s Chief Legal Officer informing them that they are subject to the pre-clearance policy. The Company’s Chief Legal Officer maintains a list of all Restricted Persons.</w:t>
      </w:r>
    </w:p>
    <w:p>
      <w:pPr>
        <w:spacing w:after="0" w:line="169" w:lineRule="exact"/>
        <w:rPr>
          <w:sz w:val="20"/>
          <w:szCs w:val="20"/>
          <w:color w:val="auto"/>
        </w:rPr>
      </w:pPr>
    </w:p>
    <w:p>
      <w:pPr>
        <w:ind w:left="1160" w:hanging="403"/>
        <w:spacing w:after="0"/>
        <w:tabs>
          <w:tab w:leader="none" w:pos="1160" w:val="left"/>
        </w:tabs>
        <w:numPr>
          <w:ilvl w:val="0"/>
          <w:numId w:val="3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Certain Limited Exceptions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prohibitions on trading in the Company’s securities set forth in Sections 3 and 6 above do not apply to:</w:t>
      </w:r>
    </w:p>
    <w:p>
      <w:pPr>
        <w:spacing w:after="0" w:line="243" w:lineRule="exact"/>
        <w:rPr>
          <w:sz w:val="20"/>
          <w:szCs w:val="20"/>
          <w:color w:val="auto"/>
        </w:rPr>
      </w:pPr>
    </w:p>
    <w:p>
      <w:pPr>
        <w:ind w:left="1500" w:right="20" w:hanging="369"/>
        <w:spacing w:after="0" w:line="269" w:lineRule="auto"/>
        <w:tabs>
          <w:tab w:leader="none" w:pos="1500" w:val="left"/>
        </w:tabs>
        <w:numPr>
          <w:ilvl w:val="1"/>
          <w:numId w:val="32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transfer of securities to an entity that does not involve a change in the beneficial ownership of the securities (for example, to certain types of trusts of which you are the sole beneficiary during your lifetime);</w:t>
      </w:r>
    </w:p>
    <w:p>
      <w:pPr>
        <w:spacing w:after="0" w:line="172" w:lineRule="exact"/>
        <w:rPr>
          <w:rFonts w:ascii="MS PGothic" w:cs="MS PGothic" w:eastAsia="MS PGothic" w:hAnsi="MS PGothic"/>
          <w:sz w:val="20"/>
          <w:szCs w:val="20"/>
          <w:color w:val="auto"/>
        </w:rPr>
      </w:pPr>
    </w:p>
    <w:p>
      <w:pPr>
        <w:ind w:left="1500" w:hanging="369"/>
        <w:spacing w:after="0" w:line="269" w:lineRule="auto"/>
        <w:tabs>
          <w:tab w:leader="none" w:pos="1500" w:val="left"/>
        </w:tabs>
        <w:numPr>
          <w:ilvl w:val="1"/>
          <w:numId w:val="32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execution of trades pursuant to a trading plan that complies with SEC Rule 10b5-1 and which has been approved by the Company (see Section 8);</w:t>
      </w:r>
    </w:p>
    <w:p>
      <w:pPr>
        <w:spacing w:after="0" w:line="172" w:lineRule="exact"/>
        <w:rPr>
          <w:rFonts w:ascii="MS PGothic" w:cs="MS PGothic" w:eastAsia="MS PGothic" w:hAnsi="MS PGothic"/>
          <w:sz w:val="20"/>
          <w:szCs w:val="20"/>
          <w:color w:val="auto"/>
        </w:rPr>
      </w:pPr>
    </w:p>
    <w:p>
      <w:pPr>
        <w:ind w:left="1500" w:hanging="369"/>
        <w:spacing w:after="0" w:line="269" w:lineRule="auto"/>
        <w:tabs>
          <w:tab w:leader="none" w:pos="1500" w:val="left"/>
        </w:tabs>
        <w:numPr>
          <w:ilvl w:val="1"/>
          <w:numId w:val="32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sales of the Company’s securities as a selling stockholder in a registered public offering undertaken in accordance with applicable securities laws; or</w:t>
      </w:r>
    </w:p>
    <w:p>
      <w:pPr>
        <w:spacing w:after="0" w:line="172" w:lineRule="exact"/>
        <w:rPr>
          <w:rFonts w:ascii="MS PGothic" w:cs="MS PGothic" w:eastAsia="MS PGothic" w:hAnsi="MS PGothic"/>
          <w:sz w:val="20"/>
          <w:szCs w:val="20"/>
          <w:color w:val="auto"/>
        </w:rPr>
      </w:pPr>
    </w:p>
    <w:p>
      <w:pPr>
        <w:jc w:val="both"/>
        <w:ind w:left="1500" w:hanging="369"/>
        <w:spacing w:after="0" w:line="254" w:lineRule="auto"/>
        <w:tabs>
          <w:tab w:leader="none" w:pos="1500" w:val="left"/>
        </w:tabs>
        <w:numPr>
          <w:ilvl w:val="1"/>
          <w:numId w:val="32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trading in mutual funds and Exchange Traded Funds (ETFs) holding Company securities at any time, that are either based on broad indexes, such as Standard &amp; Poor’s or NASDAQ or on targeted sectors with portfolio holdings of at least 30 or more companies.</w:t>
      </w:r>
    </w:p>
    <w:p>
      <w:pPr>
        <w:spacing w:after="0" w:line="183" w:lineRule="exact"/>
        <w:rPr>
          <w:rFonts w:ascii="MS PGothic" w:cs="MS PGothic" w:eastAsia="MS PGothic" w:hAnsi="MS PGothic"/>
          <w:sz w:val="20"/>
          <w:szCs w:val="20"/>
          <w:color w:val="auto"/>
        </w:rPr>
      </w:pPr>
    </w:p>
    <w:p>
      <w:pPr>
        <w:ind w:left="1160" w:hanging="403"/>
        <w:spacing w:after="0"/>
        <w:tabs>
          <w:tab w:leader="none" w:pos="1160" w:val="left"/>
        </w:tabs>
        <w:numPr>
          <w:ilvl w:val="0"/>
          <w:numId w:val="3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Rule 10b5-1 Trading Plans</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SEC Rule 10b5-1 is intended to protect Insiders from insider trading liability. Specifically, trades in Company securities made under a previously established contract, plan or instruction to trade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4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Company’s securities that is created in compliance with Rule 10b5-1 (a “</w:t>
      </w:r>
      <w:r>
        <w:rPr>
          <w:rFonts w:ascii="Times New Roman" w:cs="Times New Roman" w:eastAsia="Times New Roman" w:hAnsi="Times New Roman"/>
          <w:sz w:val="20"/>
          <w:szCs w:val="20"/>
          <w:u w:val="single" w:color="auto"/>
          <w:color w:val="auto"/>
        </w:rPr>
        <w:t>Trading Plan</w:t>
      </w:r>
      <w:r>
        <w:rPr>
          <w:rFonts w:ascii="Times New Roman" w:cs="Times New Roman" w:eastAsia="Times New Roman" w:hAnsi="Times New Roman"/>
          <w:sz w:val="20"/>
          <w:szCs w:val="20"/>
          <w:color w:val="auto"/>
        </w:rPr>
        <w:t>”) are eligible for an “affirmative defense” under Rule 10b5-1 in the event there is an insider trading lawsuit.</w:t>
      </w:r>
    </w:p>
    <w:p>
      <w:pPr>
        <w:spacing w:after="0" w:line="17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Insiders may adopt a Trading Plan with certain Company-approved brokers that outline a pre-set plan for trading of the Company’s securities. Trading Plans are to be implemented only during open window periods and when the individual is not aware of any material non-­ public information. The adoption and operation of Trading Plan must otherwise satisfy the various conditions and limitations set forth in Rule 10b5-1.</w:t>
      </w:r>
    </w:p>
    <w:p>
      <w:pPr>
        <w:spacing w:after="0" w:line="193" w:lineRule="exact"/>
        <w:rPr>
          <w:sz w:val="20"/>
          <w:szCs w:val="20"/>
          <w:color w:val="auto"/>
        </w:rPr>
      </w:pPr>
    </w:p>
    <w:p>
      <w:pPr>
        <w:jc w:val="both"/>
        <w:ind w:right="40" w:firstLine="749"/>
        <w:spacing w:after="0" w:line="249" w:lineRule="auto"/>
        <w:rPr>
          <w:sz w:val="20"/>
          <w:szCs w:val="20"/>
          <w:color w:val="auto"/>
        </w:rPr>
      </w:pPr>
      <w:r>
        <w:rPr>
          <w:rFonts w:ascii="Times New Roman" w:cs="Times New Roman" w:eastAsia="Times New Roman" w:hAnsi="Times New Roman"/>
          <w:sz w:val="20"/>
          <w:szCs w:val="20"/>
          <w:color w:val="auto"/>
        </w:rPr>
        <w:t>Restricted Persons are required to obtain pre-clearance from the Company’s Chief Legal Officer or their designee prior to implementing a Trading Plan or other arrangement or trading instruction involving potential sales or purchases of the Company’s securities or option or SAR exercises including but not limited to, blind trusts, discretionary accounts with banks or brokers or limit orders. An individual may not adopt more than one active Trading Plan.</w:t>
      </w:r>
    </w:p>
    <w:p>
      <w:pPr>
        <w:spacing w:after="0" w:line="193" w:lineRule="exact"/>
        <w:rPr>
          <w:sz w:val="20"/>
          <w:szCs w:val="20"/>
          <w:color w:val="auto"/>
        </w:rPr>
      </w:pPr>
    </w:p>
    <w:p>
      <w:pPr>
        <w:jc w:val="both"/>
        <w:ind w:right="40" w:firstLine="752"/>
        <w:spacing w:after="0" w:line="246" w:lineRule="auto"/>
        <w:rPr>
          <w:sz w:val="20"/>
          <w:szCs w:val="20"/>
          <w:color w:val="auto"/>
        </w:rPr>
      </w:pPr>
      <w:r>
        <w:rPr>
          <w:rFonts w:ascii="Times New Roman" w:cs="Times New Roman" w:eastAsia="Times New Roman" w:hAnsi="Times New Roman"/>
          <w:sz w:val="20"/>
          <w:szCs w:val="20"/>
          <w:u w:val="single" w:color="auto"/>
          <w:color w:val="auto"/>
        </w:rPr>
        <w:t>Revocation/Amendments to Trading Plans</w:t>
      </w:r>
      <w:r>
        <w:rPr>
          <w:rFonts w:ascii="Times New Roman" w:cs="Times New Roman" w:eastAsia="Times New Roman" w:hAnsi="Times New Roman"/>
          <w:sz w:val="20"/>
          <w:szCs w:val="20"/>
          <w:color w:val="auto"/>
        </w:rPr>
        <w:t>. Trading Plans may be amended only during open window periods and when the individual is not aware of any material non-public information. Additionally, Restricted Persons are required to obtain pre-clearance during a window period from the Company’s Chief Legal Officer or their designee prior to amending or terminating a Trading Plan. If you revoke a Trading Plan after the first option exercise or share sale, then you must agree not to enter into another Trading Plan until six months after revocation of the Trading Plan.</w:t>
      </w:r>
    </w:p>
    <w:p>
      <w:pPr>
        <w:spacing w:after="0" w:line="198" w:lineRule="exact"/>
        <w:rPr>
          <w:sz w:val="20"/>
          <w:szCs w:val="20"/>
          <w:color w:val="auto"/>
        </w:rPr>
      </w:pPr>
    </w:p>
    <w:p>
      <w:pPr>
        <w:jc w:val="both"/>
        <w:ind w:right="40" w:firstLine="752"/>
        <w:spacing w:after="0" w:line="254" w:lineRule="auto"/>
        <w:rPr>
          <w:sz w:val="20"/>
          <w:szCs w:val="20"/>
          <w:color w:val="auto"/>
        </w:rPr>
      </w:pPr>
      <w:r>
        <w:rPr>
          <w:rFonts w:ascii="Times New Roman" w:cs="Times New Roman" w:eastAsia="Times New Roman" w:hAnsi="Times New Roman"/>
          <w:sz w:val="20"/>
          <w:szCs w:val="20"/>
          <w:color w:val="auto"/>
        </w:rPr>
        <w:t>A Trading Plan must be revoked in certain circumstances, such as the announcement of a merger or the occurrence of an event that would cause the transaction either to violate the law or to have an adverse effect on the Company. The Company’s Chief Legal Officer of the Company is authorized to notify the broker in such circumstances.</w:t>
      </w:r>
    </w:p>
    <w:p>
      <w:pPr>
        <w:spacing w:after="0" w:line="188" w:lineRule="exact"/>
        <w:rPr>
          <w:sz w:val="20"/>
          <w:szCs w:val="20"/>
          <w:color w:val="auto"/>
        </w:rPr>
      </w:pPr>
    </w:p>
    <w:p>
      <w:pPr>
        <w:jc w:val="both"/>
        <w:ind w:right="40" w:firstLine="752"/>
        <w:spacing w:after="0" w:line="254" w:lineRule="auto"/>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Trading Plans do not exempt individuals from complying with the Section 16 six-month short swing profit rules, liability or reporting obligations. Accordingly, it is imperative that Insiders subject to Section 16 reporting coordinate with the Company’s Chief Legal Officer prior to adopting or modifying such plans.</w:t>
      </w:r>
    </w:p>
    <w:p>
      <w:pPr>
        <w:spacing w:after="0" w:line="188" w:lineRule="exact"/>
        <w:rPr>
          <w:sz w:val="20"/>
          <w:szCs w:val="20"/>
          <w:color w:val="auto"/>
        </w:rPr>
      </w:pPr>
    </w:p>
    <w:p>
      <w:pPr>
        <w:jc w:val="both"/>
        <w:ind w:right="40" w:firstLine="752"/>
        <w:spacing w:after="0" w:line="269" w:lineRule="auto"/>
        <w:rPr>
          <w:sz w:val="20"/>
          <w:szCs w:val="20"/>
          <w:color w:val="auto"/>
        </w:rPr>
      </w:pPr>
      <w:r>
        <w:rPr>
          <w:rFonts w:ascii="Times New Roman" w:cs="Times New Roman" w:eastAsia="Times New Roman" w:hAnsi="Times New Roman"/>
          <w:sz w:val="20"/>
          <w:szCs w:val="20"/>
          <w:u w:val="single" w:color="auto"/>
          <w:color w:val="auto"/>
        </w:rPr>
        <w:t>Trades Outside of a Plan</w:t>
      </w:r>
      <w:r>
        <w:rPr>
          <w:rFonts w:ascii="Times New Roman" w:cs="Times New Roman" w:eastAsia="Times New Roman" w:hAnsi="Times New Roman"/>
          <w:sz w:val="20"/>
          <w:szCs w:val="20"/>
          <w:color w:val="auto"/>
        </w:rPr>
        <w:t>. During an open window period, trades that are not pursuant to Trading Plan instructions that are already in place are allowed as long as the Trading Plan continues to be followed.</w:t>
      </w:r>
    </w:p>
    <w:p>
      <w:pPr>
        <w:spacing w:after="0" w:line="173" w:lineRule="exact"/>
        <w:rPr>
          <w:sz w:val="20"/>
          <w:szCs w:val="20"/>
          <w:color w:val="auto"/>
        </w:rPr>
      </w:pPr>
    </w:p>
    <w:p>
      <w:pPr>
        <w:jc w:val="both"/>
        <w:ind w:right="40" w:firstLine="752"/>
        <w:spacing w:after="0" w:line="249" w:lineRule="auto"/>
        <w:rPr>
          <w:sz w:val="20"/>
          <w:szCs w:val="20"/>
          <w:color w:val="auto"/>
        </w:rPr>
      </w:pPr>
      <w:r>
        <w:rPr>
          <w:rFonts w:ascii="Times New Roman" w:cs="Times New Roman" w:eastAsia="Times New Roman" w:hAnsi="Times New Roman"/>
          <w:sz w:val="20"/>
          <w:szCs w:val="20"/>
          <w:u w:val="single" w:color="auto"/>
          <w:color w:val="auto"/>
        </w:rPr>
        <w:t>Public Announcements</w:t>
      </w:r>
      <w:r>
        <w:rPr>
          <w:rFonts w:ascii="Times New Roman" w:cs="Times New Roman" w:eastAsia="Times New Roman" w:hAnsi="Times New Roman"/>
          <w:sz w:val="20"/>
          <w:szCs w:val="20"/>
          <w:color w:val="auto"/>
        </w:rPr>
        <w:t>. In addition to the requirement that the Company make certain quarterly disclosures about the adoption or termination of Trading Plans by Insiders subject to Section 16 in its periodic reports filed with the SEC, the Company may (but is not required to) make a public announcement that Trading Plans are being implemented in accordance with Rule 10b5-1. It may also make public announcements or respond to inquiries from the media as transactions are made under a Trading Plan.</w:t>
      </w:r>
    </w:p>
    <w:p>
      <w:pPr>
        <w:spacing w:after="0" w:line="193" w:lineRule="exact"/>
        <w:rPr>
          <w:sz w:val="20"/>
          <w:szCs w:val="20"/>
          <w:color w:val="auto"/>
        </w:rPr>
      </w:pPr>
    </w:p>
    <w:p>
      <w:pPr>
        <w:jc w:val="both"/>
        <w:ind w:right="40" w:firstLine="752"/>
        <w:spacing w:after="0" w:line="269" w:lineRule="auto"/>
        <w:rPr>
          <w:sz w:val="20"/>
          <w:szCs w:val="20"/>
          <w:color w:val="auto"/>
        </w:rPr>
      </w:pPr>
      <w:r>
        <w:rPr>
          <w:rFonts w:ascii="Times New Roman" w:cs="Times New Roman" w:eastAsia="Times New Roman" w:hAnsi="Times New Roman"/>
          <w:sz w:val="20"/>
          <w:szCs w:val="20"/>
          <w:u w:val="single" w:color="auto"/>
          <w:color w:val="auto"/>
        </w:rPr>
        <w:t>Prohibited Transactions</w:t>
      </w:r>
      <w:r>
        <w:rPr>
          <w:rFonts w:ascii="Times New Roman" w:cs="Times New Roman" w:eastAsia="Times New Roman" w:hAnsi="Times New Roman"/>
          <w:sz w:val="20"/>
          <w:szCs w:val="20"/>
          <w:color w:val="auto"/>
        </w:rPr>
        <w:t>. The transactions prohibited pursuant to Section 4 of this Policy may not be carried out through a Trading Plan or other arrangement or trading instruction.</w:t>
      </w:r>
    </w:p>
    <w:p>
      <w:pPr>
        <w:spacing w:after="0" w:line="169" w:lineRule="exact"/>
        <w:rPr>
          <w:sz w:val="20"/>
          <w:szCs w:val="20"/>
          <w:color w:val="auto"/>
        </w:rPr>
      </w:pPr>
    </w:p>
    <w:p>
      <w:pPr>
        <w:ind w:left="1160" w:hanging="403"/>
        <w:spacing w:after="0"/>
        <w:tabs>
          <w:tab w:leader="none" w:pos="1160" w:val="left"/>
        </w:tabs>
        <w:numPr>
          <w:ilvl w:val="0"/>
          <w:numId w:val="3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Confidential Information and Communications with the Media</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right="60" w:firstLine="749"/>
        <w:spacing w:after="0" w:line="269" w:lineRule="auto"/>
        <w:rPr>
          <w:sz w:val="20"/>
          <w:szCs w:val="20"/>
          <w:color w:val="auto"/>
        </w:rPr>
      </w:pPr>
      <w:r>
        <w:rPr>
          <w:rFonts w:ascii="Times New Roman" w:cs="Times New Roman" w:eastAsia="Times New Roman" w:hAnsi="Times New Roman"/>
          <w:sz w:val="20"/>
          <w:szCs w:val="20"/>
          <w:color w:val="auto"/>
        </w:rPr>
        <w:t>Unauthorized disclosure of internal information relating to the Company (including information regarding new products) could cause competitive harm to the Company and in some cases could result in liability for the Company.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440" w:right="299" w:bottom="1440" w:gutter="0" w:footer="0" w:header="0"/>
        </w:sectPr>
      </w:pPr>
    </w:p>
    <w:bookmarkStart w:id="347" w:name="page348"/>
    <w:bookmarkEnd w:id="347"/>
    <w:p>
      <w:pPr>
        <w:spacing w:after="0" w:line="14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Unauthorized disclosure</w:t>
      </w:r>
      <w:r>
        <w:rPr>
          <w:rFonts w:ascii="Times New Roman" w:cs="Times New Roman" w:eastAsia="Times New Roman" w:hAnsi="Times New Roman"/>
          <w:sz w:val="20"/>
          <w:szCs w:val="20"/>
          <w:color w:val="auto"/>
        </w:rPr>
        <w:t>. Company personnel should not disclose internal information about the Company with anyone outside the Company, except as required in the performance of regular duties for the Company. In this regard, Insiders are prohibited from posting internal information about the Company on the Internet or communicating about the Company and its business online or via social media.</w:t>
      </w:r>
    </w:p>
    <w:p>
      <w:pPr>
        <w:spacing w:after="0" w:line="18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Communications with the media, securities analysts and investors</w:t>
      </w:r>
      <w:r>
        <w:rPr>
          <w:rFonts w:ascii="Times New Roman" w:cs="Times New Roman" w:eastAsia="Times New Roman" w:hAnsi="Times New Roman"/>
          <w:sz w:val="20"/>
          <w:szCs w:val="20"/>
          <w:color w:val="auto"/>
        </w:rPr>
        <w:t>. Communications on behalf of the Company with the media, securities analysts and investors must be made only by specifically designated representatives of the Company. Unless you have been expressly authorized to make such communications, if you receive any inquiry relating to the Company from the media, a securities analyst or an investor, you should refer the inquiry to the Executive Vice President, Chief Financial Officer.</w:t>
      </w:r>
    </w:p>
    <w:p>
      <w:pPr>
        <w:spacing w:after="0" w:line="19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Rumors</w:t>
      </w:r>
      <w:r>
        <w:rPr>
          <w:rFonts w:ascii="Times New Roman" w:cs="Times New Roman" w:eastAsia="Times New Roman" w:hAnsi="Times New Roman"/>
          <w:sz w:val="20"/>
          <w:szCs w:val="20"/>
          <w:color w:val="auto"/>
        </w:rPr>
        <w:t>. Rumors concerning the business and affairs of the Company may circulate from time to time. Our general policy is not to comment upon those rumors. Individual employees should not comment on or respond to rumors and should refer any requests for comments or responses to the Executive Vice President, Chief Financial Officer.</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Safeguarding confidential information</w:t>
      </w:r>
      <w:r>
        <w:rPr>
          <w:rFonts w:ascii="Times New Roman" w:cs="Times New Roman" w:eastAsia="Times New Roman" w:hAnsi="Times New Roman"/>
          <w:sz w:val="20"/>
          <w:szCs w:val="20"/>
          <w:color w:val="auto"/>
        </w:rPr>
        <w:t>. Care must be taken to safeguard the confidentiality of internal information. For example, sensitive documents should not be left lying on desks; open on laptops, tablets or phones in public places; and visitors should not be left unattended in offices containing internal Company documents.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u w:val="single" w:color="auto"/>
          <w:color w:val="auto"/>
        </w:rPr>
        <w:t>Whistleblower protection</w:t>
      </w:r>
      <w:r>
        <w:rPr>
          <w:rFonts w:ascii="Times New Roman" w:cs="Times New Roman" w:eastAsia="Times New Roman" w:hAnsi="Times New Roman"/>
          <w:sz w:val="19"/>
          <w:szCs w:val="19"/>
          <w:color w:val="auto"/>
        </w:rPr>
        <w:t>. Notwithstanding any other confidentiality or non-disclosure agreement (whether in writing or otherwise, including without limitation as part of an employment agreement, separation agreement or similar employment or compensation arrangement) applicable to current or former Insiders, this Policy should not be deemed to restrict any current or former Insider from communicating, cooperating or filing a complaint with the SEC or any U.S. federal, state or local governmental or law enforcement branch, agency or entity (collectively, a “</w:t>
      </w:r>
      <w:r>
        <w:rPr>
          <w:rFonts w:ascii="Times New Roman" w:cs="Times New Roman" w:eastAsia="Times New Roman" w:hAnsi="Times New Roman"/>
          <w:sz w:val="19"/>
          <w:szCs w:val="19"/>
          <w:u w:val="single" w:color="auto"/>
          <w:color w:val="auto"/>
        </w:rPr>
        <w:t>Governmental Entity</w:t>
      </w:r>
      <w:r>
        <w:rPr>
          <w:rFonts w:ascii="Times New Roman" w:cs="Times New Roman" w:eastAsia="Times New Roman" w:hAnsi="Times New Roman"/>
          <w:sz w:val="19"/>
          <w:szCs w:val="19"/>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(1) in each case, such communications and disclosures are consistent with applicable law and (2) the information subject to such disclosure was not obtained by the current or former Insider through a communication that was subject to the attorney-client privilege, unless such disclosure of that information would otherwise be permitted by an attorney pursuant to 17 CFR 205.3(d)</w:t>
      </w:r>
    </w:p>
    <w:p>
      <w:pPr>
        <w:spacing w:after="0" w:line="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(2), applicable state attorney conduct rules, or otherwise. Any agreement in conflict with the foregoing is hereby deemed amended by the Company to be consistent with the foregoing.</w:t>
      </w:r>
    </w:p>
    <w:p>
      <w:pPr>
        <w:spacing w:after="0" w:line="191" w:lineRule="exact"/>
        <w:rPr>
          <w:sz w:val="20"/>
          <w:szCs w:val="20"/>
          <w:color w:val="auto"/>
        </w:rPr>
      </w:pPr>
    </w:p>
    <w:p>
      <w:pPr>
        <w:ind w:left="1160" w:hanging="403"/>
        <w:spacing w:after="0"/>
        <w:tabs>
          <w:tab w:leader="none" w:pos="1160" w:val="left"/>
        </w:tabs>
        <w:numPr>
          <w:ilvl w:val="0"/>
          <w:numId w:val="3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Company Assistance</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person who has any questions about specific transactions may obtain additional guidance from the Company’s Chief Legal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w:t>
      </w:r>
    </w:p>
    <w:p>
      <w:pPr>
        <w:spacing w:after="0" w:line="20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Remember, however, the ultimate responsibility for adhering to this Policy and avoiding improper transactions rests with you. In this regard, it is imperative that you use your best judgment.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340" w:type="dxa"/>
            <w:vAlign w:val="bottom"/>
            <w:gridSpan w:val="3"/>
          </w:tcPr>
          <w:p>
            <w:pPr>
              <w:ind w:left="660"/>
              <w:spacing w:after="0"/>
              <w:rPr>
                <w:sz w:val="20"/>
                <w:szCs w:val="20"/>
                <w:color w:val="auto"/>
              </w:rPr>
            </w:pPr>
            <w:r>
              <w:rPr>
                <w:rFonts w:ascii="Arial" w:cs="Arial" w:eastAsia="Arial" w:hAnsi="Arial"/>
                <w:sz w:val="16"/>
                <w:szCs w:val="16"/>
                <w:color w:val="auto"/>
              </w:rPr>
              <w:t>Subsidiaries of the Registrant</w:t>
            </w:r>
          </w:p>
        </w:tc>
      </w:tr>
      <w:tr>
        <w:trPr>
          <w:trHeight w:val="637"/>
        </w:trPr>
        <w:tc>
          <w:tcPr>
            <w:tcW w:w="2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Subsidiary</w:t>
            </w:r>
          </w:p>
        </w:tc>
        <w:tc>
          <w:tcPr>
            <w:tcW w:w="208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Jurisdiction of Organization</w:t>
            </w:r>
          </w:p>
        </w:tc>
      </w:tr>
      <w:tr>
        <w:trPr>
          <w:trHeight w:val="182"/>
        </w:trPr>
        <w:tc>
          <w:tcPr>
            <w:tcW w:w="20" w:type="dxa"/>
            <w:vAlign w:val="bottom"/>
          </w:tcPr>
          <w:p>
            <w:pPr>
              <w:spacing w:after="0"/>
              <w:rPr>
                <w:sz w:val="15"/>
                <w:szCs w:val="15"/>
                <w:color w:val="auto"/>
              </w:rPr>
            </w:pPr>
          </w:p>
        </w:tc>
        <w:tc>
          <w:tcPr>
            <w:tcW w:w="76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w w:val="93"/>
              </w:rPr>
              <w:t>Acirca, Inc.</w:t>
            </w:r>
          </w:p>
        </w:tc>
        <w:tc>
          <w:tcPr>
            <w:tcW w:w="3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940" w:type="dxa"/>
            <w:vAlign w:val="bottom"/>
            <w:tcBorders>
              <w:top w:val="single" w:sz="8" w:color="auto"/>
            </w:tcBorders>
          </w:tcPr>
          <w:p>
            <w:pPr>
              <w:spacing w:after="0" w:line="182" w:lineRule="exact"/>
              <w:rPr>
                <w:sz w:val="20"/>
                <w:szCs w:val="20"/>
                <w:color w:val="auto"/>
              </w:rPr>
            </w:pPr>
            <w:r>
              <w:rPr>
                <w:rFonts w:ascii="Arial" w:cs="Arial" w:eastAsia="Arial" w:hAnsi="Arial"/>
                <w:sz w:val="16"/>
                <w:szCs w:val="16"/>
                <w:color w:val="auto"/>
              </w:rPr>
              <w:t>Delaware</w:t>
            </w:r>
          </w:p>
        </w:tc>
        <w:tc>
          <w:tcPr>
            <w:tcW w:w="33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AMI HLDGS,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AMI Operating,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Texas</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Celestial Seasonings,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Charter Baking Company,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Cully &amp; Sully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Ireland</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Daily Bread Ltd.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Dana Alexander,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New York</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Daniels Chilled Foods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De Boles Nutritional Foods,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New York</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Ella’s Kitchen (Brands)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Ella’s Kitchen Group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Ella’s Kitchen,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Ella’s Kitchen (IP)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Epicurean Farms,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Farmhouse Fare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Formatio Beratungs- und Beteiligungs GmbH</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Austria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HCGI Holdings,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HCGI International Holdings,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HCGI U.S. Finance Co.,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HPPC I,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HPPC II,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HPPC Transportation,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Avalon Holdings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BluePrint,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Canada Holdings,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C&amp;S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Hain-Celestial Canada, ULC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Nova Scotia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DMCC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Dubai</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Europe B.V.</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Netherlands</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India Holdings,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India Private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India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Ireland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Ireland</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Jersey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Jersey</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Celestial UK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Foods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Frozen Foods UK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United Kingdom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Gourmet,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Holding Cyprus Limited</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Cyprus</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Marketing,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Pure Food Co.,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California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 Refrigerated Foods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Hain-Yves,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HCGI WN,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Health Valley Company</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KTB Foods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Lima Natuurvoedingsbedrijf BV</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Belgium</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Little Bear Organic Foods,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California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Mona Naturprodukte GmbH</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Austria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Mona Oberwart Produktions GmbH</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Austria</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Mona Sojaland GmbH</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Natumi GmbH</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Germany</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Natural Nutrition Group,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New Oxford Foods,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nSpired Natural Foods,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PC Operating Co.,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Plainville Farms, LLC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89"/>
        </w:trPr>
        <w:tc>
          <w:tcPr>
            <w:tcW w:w="20" w:type="dxa"/>
            <w:vAlign w:val="bottom"/>
          </w:tcPr>
          <w:p>
            <w:pPr>
              <w:spacing w:after="0"/>
              <w:rPr>
                <w:sz w:val="16"/>
                <w:szCs w:val="16"/>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Proven Brands, Inc.</w:t>
            </w:r>
          </w:p>
        </w:tc>
        <w:tc>
          <w:tcPr>
            <w:tcW w:w="2080" w:type="dxa"/>
            <w:vAlign w:val="bottom"/>
          </w:tcPr>
          <w:p>
            <w:pPr>
              <w:spacing w:after="0"/>
              <w:rPr>
                <w:sz w:val="16"/>
                <w:szCs w:val="16"/>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215"/>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Queen Personal Care, Inc.</w:t>
            </w:r>
          </w:p>
        </w:tc>
        <w:tc>
          <w:tcPr>
            <w:tcW w:w="208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6"/>
                <w:szCs w:val="16"/>
                <w:color w:val="auto"/>
              </w:rPr>
              <w:t>Delaware</w:t>
            </w:r>
          </w:p>
        </w:tc>
      </w:tr>
      <w:tr>
        <w:trPr>
          <w:trHeight w:val="1615"/>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6"/>
          <w:szCs w:val="16"/>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6"/>
                <w:szCs w:val="16"/>
                <w:color w:val="auto"/>
                <w:w w:val="99"/>
              </w:rPr>
              <w:t>Subsidiary</w:t>
            </w:r>
          </w:p>
        </w:tc>
        <w:tc>
          <w:tcPr>
            <w:tcW w:w="3520" w:type="dxa"/>
            <w:vAlign w:val="bottom"/>
          </w:tcPr>
          <w:p>
            <w:pPr>
              <w:spacing w:after="0"/>
              <w:rPr>
                <w:sz w:val="16"/>
                <w:szCs w:val="16"/>
                <w:color w:val="auto"/>
              </w:rPr>
            </w:pP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Jurisdiction of Organization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90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30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gridSpan w:val="2"/>
          </w:tcPr>
          <w:p>
            <w:pPr>
              <w:spacing w:after="0" w:line="182" w:lineRule="exact"/>
              <w:rPr>
                <w:sz w:val="20"/>
                <w:szCs w:val="20"/>
                <w:color w:val="auto"/>
              </w:rPr>
            </w:pPr>
            <w:r>
              <w:rPr>
                <w:rFonts w:ascii="Arial" w:cs="Arial" w:eastAsia="Arial" w:hAnsi="Arial"/>
                <w:sz w:val="16"/>
                <w:szCs w:val="16"/>
                <w:color w:val="auto"/>
              </w:rPr>
              <w:t>Rudi’s Organic Bakery, Inc.</w:t>
            </w:r>
          </w:p>
        </w:tc>
        <w:tc>
          <w:tcPr>
            <w:tcW w:w="1900" w:type="dxa"/>
            <w:vAlign w:val="bottom"/>
            <w:vMerge w:val="continue"/>
          </w:tcPr>
          <w:p>
            <w:pPr>
              <w:spacing w:after="0"/>
              <w:rPr>
                <w:sz w:val="15"/>
                <w:szCs w:val="15"/>
                <w:color w:val="auto"/>
              </w:rPr>
            </w:pPr>
          </w:p>
        </w:tc>
        <w:tc>
          <w:tcPr>
            <w:tcW w:w="1960" w:type="dxa"/>
            <w:vAlign w:val="bottom"/>
          </w:tcPr>
          <w:p>
            <w:pPr>
              <w:spacing w:after="0" w:line="182" w:lineRule="exact"/>
              <w:rPr>
                <w:sz w:val="20"/>
                <w:szCs w:val="20"/>
                <w:color w:val="auto"/>
              </w:rPr>
            </w:pPr>
            <w:r>
              <w:rPr>
                <w:rFonts w:ascii="Arial" w:cs="Arial" w:eastAsia="Arial" w:hAnsi="Arial"/>
                <w:sz w:val="16"/>
                <w:szCs w:val="16"/>
                <w:color w:val="auto"/>
              </w:rPr>
              <w:t>Delaware</w:t>
            </w:r>
          </w:p>
        </w:tc>
        <w:tc>
          <w:tcPr>
            <w:tcW w:w="3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S Daniels Limited</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Sonmundo, Inc.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Oregon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Spectrum Organic Products, LLC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TenderCare International, Inc.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Colorado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That’s How We Roll LLC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The Hain Daniels Group Limited</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Westbrae Natural Foods, Inc.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Zia Cosmetics, Inc.</w:t>
            </w:r>
          </w:p>
        </w:tc>
        <w:tc>
          <w:tcPr>
            <w:tcW w:w="6940" w:type="dxa"/>
            <w:vAlign w:val="bottom"/>
            <w:gridSpan w:val="3"/>
          </w:tcPr>
          <w:p>
            <w:pPr>
              <w:ind w:left="1900"/>
              <w:spacing w:after="0"/>
              <w:rPr>
                <w:sz w:val="20"/>
                <w:szCs w:val="20"/>
                <w:color w:val="auto"/>
              </w:rPr>
            </w:pPr>
            <w:r>
              <w:rPr>
                <w:rFonts w:ascii="Arial" w:cs="Arial" w:eastAsia="Arial" w:hAnsi="Arial"/>
                <w:sz w:val="16"/>
                <w:szCs w:val="16"/>
                <w:color w:val="auto"/>
              </w:rPr>
              <w:t>California</w:t>
            </w:r>
          </w:p>
        </w:tc>
        <w:tc>
          <w:tcPr>
            <w:tcW w:w="0" w:type="dxa"/>
            <w:vAlign w:val="bottom"/>
          </w:tcPr>
          <w:p>
            <w:pPr>
              <w:spacing w:after="0"/>
              <w:rPr>
                <w:sz w:val="1"/>
                <w:szCs w:val="1"/>
                <w:color w:val="auto"/>
              </w:rPr>
            </w:pPr>
          </w:p>
        </w:tc>
      </w:tr>
      <w:tr>
        <w:trPr>
          <w:trHeight w:val="2331"/>
        </w:trPr>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0" w:name="page351"/>
    <w:bookmarkEnd w:id="350"/>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The Hain Celestial Group, Inc. and subsidiaries:</w:t>
      </w:r>
    </w:p>
    <w:p>
      <w:pPr>
        <w:spacing w:after="0" w:line="225" w:lineRule="exact"/>
        <w:rPr>
          <w:sz w:val="20"/>
          <w:szCs w:val="20"/>
          <w:color w:val="auto"/>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333-283060 on Form S-8</w:t>
      </w:r>
    </w:p>
    <w:p>
      <w:pPr>
        <w:spacing w:after="0" w:line="27"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333-268439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333-229739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333-228215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333-204460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333-196043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333-188542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333-180189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333-172734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333-166773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333-158357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333-140180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333-111881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Registration Statement Number 333-102017 on Form S-8</w:t>
      </w:r>
    </w:p>
    <w:p>
      <w:pPr>
        <w:spacing w:after="0" w:line="9" w:lineRule="exact"/>
        <w:rPr>
          <w:rFonts w:ascii="Times New Roman" w:cs="Times New Roman" w:eastAsia="Times New Roman" w:hAnsi="Times New Roman"/>
          <w:sz w:val="18"/>
          <w:szCs w:val="18"/>
          <w:color w:val="333333"/>
        </w:rPr>
      </w:pPr>
    </w:p>
    <w:p>
      <w:pPr>
        <w:ind w:left="760" w:hanging="378"/>
        <w:spacing w:after="0"/>
        <w:tabs>
          <w:tab w:leader="none" w:pos="760" w:val="left"/>
        </w:tabs>
        <w:numPr>
          <w:ilvl w:val="0"/>
          <w:numId w:val="3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Post-Effective Amendment No. 1 on Form S-8 to Registration Statement Number 333-33830 on Form S-4</w:t>
      </w:r>
    </w:p>
    <w:p>
      <w:pPr>
        <w:spacing w:after="0" w:line="3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September 15, 2025 with respect to the consolidated financial statements and schedule of The Hain Celestial Group, Inc. and subsidiaries and the effectiveness of internal control over financial reporting of The Hain Celestial Group, Inc. and subsidiaries included in this Annual Report (Form 10-K) for the year ended June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979170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CERTIFICATION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Alison E. Lewis, certify that:</w:t>
      </w:r>
    </w:p>
    <w:p>
      <w:pPr>
        <w:spacing w:after="0" w:line="262" w:lineRule="exact"/>
        <w:rPr>
          <w:sz w:val="20"/>
          <w:szCs w:val="20"/>
          <w:color w:val="auto"/>
        </w:rPr>
      </w:pPr>
    </w:p>
    <w:p>
      <w:pPr>
        <w:ind w:left="660" w:hanging="315"/>
        <w:spacing w:after="0"/>
        <w:tabs>
          <w:tab w:leader="none" w:pos="66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Hain Celestial Group, Inc.;</w:t>
      </w:r>
    </w:p>
    <w:p>
      <w:pPr>
        <w:spacing w:after="0" w:line="261"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1020" w:hanging="675"/>
        <w:spacing w:after="0" w:line="295" w:lineRule="auto"/>
        <w:tabs>
          <w:tab w:leader="none" w:pos="67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7" w:lineRule="exact"/>
        <w:rPr>
          <w:rFonts w:ascii="Times New Roman" w:cs="Times New Roman" w:eastAsia="Times New Roman" w:hAnsi="Times New Roman"/>
          <w:sz w:val="16"/>
          <w:szCs w:val="16"/>
          <w:color w:val="auto"/>
        </w:rPr>
      </w:pPr>
    </w:p>
    <w:p>
      <w:pPr>
        <w:jc w:val="both"/>
        <w:ind w:left="1360" w:hanging="341"/>
        <w:spacing w:after="0" w:line="267"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jc w:val="both"/>
        <w:ind w:left="1360" w:hanging="341"/>
        <w:spacing w:after="0" w:line="264"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60" w:right="20" w:hanging="341"/>
        <w:spacing w:after="0" w:line="264"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60" w:hanging="341"/>
        <w:spacing w:after="0" w:line="276"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1360" w:hanging="341"/>
        <w:spacing w:after="0" w:line="269"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60" w:right="20" w:hanging="341"/>
        <w:spacing w:after="0" w:line="288" w:lineRule="auto"/>
        <w:tabs>
          <w:tab w:leader="none" w:pos="1347" w:val="left"/>
        </w:tabs>
        <w:numPr>
          <w:ilvl w:val="1"/>
          <w:numId w:val="3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September 15,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Alison E. Lewis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27736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11">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Interim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1623060</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2" w:name="page353"/>
    <w:bookmarkEnd w:id="35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CERTIFICATION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Lee A. Boyce, certify that:</w:t>
      </w:r>
    </w:p>
    <w:p>
      <w:pPr>
        <w:spacing w:after="0" w:line="262" w:lineRule="exact"/>
        <w:rPr>
          <w:sz w:val="20"/>
          <w:szCs w:val="20"/>
          <w:color w:val="auto"/>
        </w:rPr>
      </w:pPr>
    </w:p>
    <w:p>
      <w:pPr>
        <w:ind w:left="660" w:hanging="315"/>
        <w:spacing w:after="0"/>
        <w:tabs>
          <w:tab w:leader="none" w:pos="66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The Hain Celestial Group, Inc.;</w:t>
      </w:r>
    </w:p>
    <w:p>
      <w:pPr>
        <w:spacing w:after="0" w:line="261"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Times New Roman" w:cs="Times New Roman" w:eastAsia="Times New Roman" w:hAnsi="Times New Roman"/>
          <w:sz w:val="16"/>
          <w:szCs w:val="16"/>
          <w:color w:val="auto"/>
        </w:rPr>
      </w:pPr>
    </w:p>
    <w:p>
      <w:pPr>
        <w:ind w:left="1020" w:hanging="675"/>
        <w:spacing w:after="0" w:line="295" w:lineRule="auto"/>
        <w:tabs>
          <w:tab w:leader="none" w:pos="67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7" w:lineRule="exact"/>
        <w:rPr>
          <w:rFonts w:ascii="Times New Roman" w:cs="Times New Roman" w:eastAsia="Times New Roman" w:hAnsi="Times New Roman"/>
          <w:sz w:val="16"/>
          <w:szCs w:val="16"/>
          <w:color w:val="auto"/>
        </w:rPr>
      </w:pPr>
    </w:p>
    <w:p>
      <w:pPr>
        <w:jc w:val="both"/>
        <w:ind w:left="1360" w:hanging="341"/>
        <w:spacing w:after="0" w:line="267"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6"/>
          <w:szCs w:val="16"/>
          <w:color w:val="auto"/>
        </w:rPr>
      </w:pPr>
    </w:p>
    <w:p>
      <w:pPr>
        <w:jc w:val="both"/>
        <w:ind w:left="1360" w:hanging="341"/>
        <w:spacing w:after="0" w:line="264"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60" w:right="20" w:hanging="341"/>
        <w:spacing w:after="0" w:line="264"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60" w:hanging="341"/>
        <w:spacing w:after="0" w:line="276"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7" w:lineRule="exact"/>
        <w:rPr>
          <w:rFonts w:ascii="Times New Roman" w:cs="Times New Roman" w:eastAsia="Times New Roman" w:hAnsi="Times New Roman"/>
          <w:sz w:val="16"/>
          <w:szCs w:val="16"/>
          <w:color w:val="auto"/>
        </w:rPr>
      </w:pPr>
    </w:p>
    <w:p>
      <w:pPr>
        <w:ind w:left="1020" w:right="20" w:hanging="675"/>
        <w:spacing w:after="0" w:line="298" w:lineRule="auto"/>
        <w:tabs>
          <w:tab w:leader="none" w:pos="670" w:val="left"/>
        </w:tabs>
        <w:numPr>
          <w:ilvl w:val="0"/>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Times New Roman" w:cs="Times New Roman" w:eastAsia="Times New Roman" w:hAnsi="Times New Roman"/>
          <w:sz w:val="16"/>
          <w:szCs w:val="16"/>
          <w:color w:val="auto"/>
        </w:rPr>
      </w:pPr>
    </w:p>
    <w:p>
      <w:pPr>
        <w:ind w:left="1360" w:hanging="341"/>
        <w:spacing w:after="0" w:line="269"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60" w:right="20" w:hanging="341"/>
        <w:spacing w:after="0" w:line="288" w:lineRule="auto"/>
        <w:tabs>
          <w:tab w:leader="none" w:pos="1347" w:val="left"/>
        </w:tabs>
        <w:numPr>
          <w:ilvl w:val="1"/>
          <w:numId w:val="3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September 15,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Lee A. Boyce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27736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13">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1331595</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53" w:name="page354"/>
    <w:bookmarkEnd w:id="35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FURNISHED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Alison E. Lewis, Interim President and Chief Executive Officer of The Hain Celestial Group, Inc. (the “Company”), certify, pursuant to Section 906 of the Sarbanes-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Oxley Act of 2002, 18 U.S.C. Section 1350, that to my knowledge:</w:t>
      </w:r>
    </w:p>
    <w:p>
      <w:pPr>
        <w:spacing w:after="0" w:line="254" w:lineRule="exact"/>
        <w:rPr>
          <w:sz w:val="20"/>
          <w:szCs w:val="20"/>
          <w:color w:val="auto"/>
        </w:rPr>
      </w:pPr>
    </w:p>
    <w:p>
      <w:pPr>
        <w:ind w:left="680" w:hanging="325"/>
        <w:spacing w:after="0" w:line="298" w:lineRule="auto"/>
        <w:tabs>
          <w:tab w:leader="none" w:pos="677"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the Company for the annual period ended June 30, 2025 (the “Report”) fully complies with the requirements of Section 13(a) of the Securities Exchange Act of 1934 (15 U.S.C. 78m); and</w:t>
      </w:r>
    </w:p>
    <w:p>
      <w:pPr>
        <w:spacing w:after="0" w:line="191" w:lineRule="exact"/>
        <w:rPr>
          <w:rFonts w:ascii="Times New Roman" w:cs="Times New Roman" w:eastAsia="Times New Roman" w:hAnsi="Times New Roman"/>
          <w:sz w:val="16"/>
          <w:szCs w:val="16"/>
          <w:color w:val="auto"/>
        </w:rPr>
      </w:pPr>
    </w:p>
    <w:p>
      <w:pPr>
        <w:ind w:left="680" w:hanging="325"/>
        <w:spacing w:after="0"/>
        <w:tabs>
          <w:tab w:leader="none" w:pos="680" w:val="left"/>
        </w:tabs>
        <w:numPr>
          <w:ilvl w:val="0"/>
          <w:numId w:val="3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September 15,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Alison E. Lewis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Alison 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434594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15">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Interim President and Chief Executive Officer</w:t>
      </w:r>
    </w:p>
    <w:p>
      <w:pPr>
        <w:spacing w:after="0" w:line="34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1694815</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354" w:name="page355"/>
    <w:bookmarkEnd w:id="354"/>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FURNISHED</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Lee A. Boyce, Chief Financial Officer of The Hain Celestial Group, Inc. (the “Company”), certify, pursuant to Section 906 of the Sarbanes-Oxley Act of 2002, 18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Section 1350, that to my knowledge:</w:t>
      </w:r>
    </w:p>
    <w:p>
      <w:pPr>
        <w:spacing w:after="0" w:line="254" w:lineRule="exact"/>
        <w:rPr>
          <w:sz w:val="20"/>
          <w:szCs w:val="20"/>
          <w:color w:val="auto"/>
        </w:rPr>
      </w:pPr>
    </w:p>
    <w:p>
      <w:pPr>
        <w:ind w:left="680" w:hanging="325"/>
        <w:spacing w:after="0" w:line="298" w:lineRule="auto"/>
        <w:tabs>
          <w:tab w:leader="none" w:pos="677"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Annual Report on Form 10-K of the Company for the annual period ended June 30, 2025 (the “Report”) fully complies with the requirements of Section 13(a) of the Securities Exchange Act of 1934 (15 U.S.C. 78m); and</w:t>
      </w:r>
    </w:p>
    <w:p>
      <w:pPr>
        <w:spacing w:after="0" w:line="191" w:lineRule="exact"/>
        <w:rPr>
          <w:rFonts w:ascii="Times New Roman" w:cs="Times New Roman" w:eastAsia="Times New Roman" w:hAnsi="Times New Roman"/>
          <w:sz w:val="16"/>
          <w:szCs w:val="16"/>
          <w:color w:val="auto"/>
        </w:rPr>
      </w:pPr>
    </w:p>
    <w:p>
      <w:pPr>
        <w:ind w:left="680" w:hanging="325"/>
        <w:spacing w:after="0"/>
        <w:tabs>
          <w:tab w:leader="none" w:pos="680" w:val="left"/>
        </w:tabs>
        <w:numPr>
          <w:ilvl w:val="0"/>
          <w:numId w:val="3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September 15, 2025</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Lee A. Boyce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Lee A. Boyce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48869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1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33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1557655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5" w:name="page356"/>
    <w:bookmarkEnd w:id="3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934699"/>
    <w:multiLevelType w:val="hybridMultilevel"/>
    <w:lvl w:ilvl="0">
      <w:lvlJc w:val="left"/>
      <w:lvlText w:val="☒"/>
      <w:numFmt w:val="bullet"/>
      <w:start w:val="1"/>
    </w:lvl>
  </w:abstractNum>
  <w:abstractNum w:abstractNumId="1">
    <w:nsid w:val="77485850"/>
    <w:multiLevelType w:val="hybridMultilevel"/>
    <w:lvl w:ilvl="0">
      <w:lvlJc w:val="left"/>
      <w:lvlText w:val="☐"/>
      <w:numFmt w:val="bullet"/>
      <w:start w:val="1"/>
    </w:lvl>
  </w:abstractNum>
  <w:abstractNum w:abstractNumId="2">
    <w:nsid w:val="744939A3"/>
    <w:multiLevelType w:val="hybridMultilevel"/>
    <w:lvl w:ilvl="0">
      <w:lvlJc w:val="left"/>
      <w:lvlText w:val="•"/>
      <w:numFmt w:val="bullet"/>
      <w:start w:val="1"/>
    </w:lvl>
  </w:abstractNum>
  <w:abstractNum w:abstractNumId="3">
    <w:nsid w:val="4FA0D2E3"/>
    <w:multiLevelType w:val="hybridMultilevel"/>
    <w:lvl w:ilvl="0">
      <w:lvlJc w:val="left"/>
      <w:lvlText w:val="•"/>
      <w:numFmt w:val="bullet"/>
      <w:start w:val="1"/>
    </w:lvl>
  </w:abstractNum>
  <w:abstractNum w:abstractNumId="4">
    <w:nsid w:val="6B1D2C14"/>
    <w:multiLevelType w:val="hybridMultilevel"/>
    <w:lvl w:ilvl="0">
      <w:lvlJc w:val="left"/>
      <w:lvlText w:val="•"/>
      <w:numFmt w:val="bullet"/>
      <w:start w:val="1"/>
    </w:lvl>
  </w:abstractNum>
  <w:abstractNum w:abstractNumId="5">
    <w:nsid w:val="68B867D3"/>
    <w:multiLevelType w:val="hybridMultilevel"/>
    <w:lvl w:ilvl="0">
      <w:lvlJc w:val="left"/>
      <w:lvlText w:val="•"/>
      <w:numFmt w:val="bullet"/>
      <w:start w:val="1"/>
    </w:lvl>
  </w:abstractNum>
  <w:abstractNum w:abstractNumId="6">
    <w:nsid w:val="3F7F5DD9"/>
    <w:multiLevelType w:val="hybridMultilevel"/>
    <w:lvl w:ilvl="0">
      <w:lvlJc w:val="left"/>
      <w:lvlText w:val="•"/>
      <w:numFmt w:val="bullet"/>
      <w:start w:val="1"/>
    </w:lvl>
  </w:abstractNum>
  <w:abstractNum w:abstractNumId="7">
    <w:nsid w:val="2AE05A34"/>
    <w:multiLevelType w:val="hybridMultilevel"/>
    <w:lvl w:ilvl="0">
      <w:lvlJc w:val="left"/>
      <w:lvlText w:val="•"/>
      <w:numFmt w:val="bullet"/>
      <w:start w:val="1"/>
    </w:lvl>
  </w:abstractNum>
  <w:abstractNum w:abstractNumId="8">
    <w:nsid w:val="32794FF7"/>
    <w:multiLevelType w:val="hybridMultilevel"/>
    <w:lvl w:ilvl="0">
      <w:lvlJc w:val="left"/>
      <w:lvlText w:val="•"/>
      <w:numFmt w:val="bullet"/>
      <w:start w:val="1"/>
    </w:lvl>
  </w:abstractNum>
  <w:abstractNum w:abstractNumId="9">
    <w:nsid w:val="5454945E"/>
    <w:multiLevelType w:val="hybridMultilevel"/>
    <w:lvl w:ilvl="0">
      <w:lvlJc w:val="left"/>
      <w:lvlText w:val="•"/>
      <w:numFmt w:val="bullet"/>
      <w:start w:val="1"/>
    </w:lvl>
  </w:abstractNum>
  <w:abstractNum w:abstractNumId="10">
    <w:nsid w:val="4DEFDFA0"/>
    <w:multiLevelType w:val="hybridMultilevel"/>
    <w:lvl w:ilvl="0">
      <w:lvlJc w:val="left"/>
      <w:lvlText w:val="**"/>
      <w:numFmt w:val="bullet"/>
      <w:start w:val="1"/>
    </w:lvl>
  </w:abstractNum>
  <w:abstractNum w:abstractNumId="11">
    <w:nsid w:val="2123D5F2"/>
    <w:multiLevelType w:val="hybridMultilevel"/>
    <w:lvl w:ilvl="0">
      <w:lvlJc w:val="left"/>
      <w:lvlText w:val="(%1)"/>
      <w:numFmt w:val="lowerLetter"/>
      <w:start w:val="1"/>
    </w:lvl>
  </w:abstractNum>
  <w:abstractNum w:abstractNumId="12">
    <w:nsid w:val="135B8110"/>
    <w:multiLevelType w:val="hybridMultilevel"/>
    <w:lvl w:ilvl="0">
      <w:lvlJc w:val="left"/>
      <w:lvlText w:val="•"/>
      <w:numFmt w:val="bullet"/>
      <w:start w:val="1"/>
    </w:lvl>
  </w:abstractNum>
  <w:abstractNum w:abstractNumId="13">
    <w:nsid w:val="94927A8"/>
    <w:multiLevelType w:val="hybridMultilevel"/>
    <w:lvl w:ilvl="0">
      <w:lvlJc w:val="left"/>
      <w:lvlText w:val="%1."/>
      <w:numFmt w:val="decimal"/>
      <w:start w:val="1"/>
    </w:lvl>
  </w:abstractNum>
  <w:abstractNum w:abstractNumId="14">
    <w:nsid w:val="DCDF8F6"/>
    <w:multiLevelType w:val="hybridMultilevel"/>
    <w:lvl w:ilvl="0">
      <w:lvlJc w:val="left"/>
      <w:lvlText w:val="%1."/>
      <w:numFmt w:val="decimal"/>
      <w:start w:val="2"/>
    </w:lvl>
  </w:abstractNum>
  <w:abstractNum w:abstractNumId="15">
    <w:nsid w:val="52D7B105"/>
    <w:multiLevelType w:val="hybridMultilevel"/>
    <w:lvl w:ilvl="0">
      <w:lvlJc w:val="left"/>
      <w:lvlText w:val="%1."/>
      <w:numFmt w:val="decimal"/>
      <w:start w:val="3"/>
    </w:lvl>
  </w:abstractNum>
  <w:abstractNum w:abstractNumId="16">
    <w:nsid w:val="2E8A6394"/>
    <w:multiLevelType w:val="hybridMultilevel"/>
    <w:lvl w:ilvl="0">
      <w:lvlJc w:val="left"/>
      <w:lvlText w:val="%1."/>
      <w:numFmt w:val="decimal"/>
      <w:start w:val="4"/>
    </w:lvl>
  </w:abstractNum>
  <w:abstractNum w:abstractNumId="17">
    <w:nsid w:val="24E60401"/>
    <w:multiLevelType w:val="hybridMultilevel"/>
    <w:lvl w:ilvl="0">
      <w:lvlJc w:val="left"/>
      <w:lvlText w:val="%1."/>
      <w:numFmt w:val="decimal"/>
      <w:start w:val="8"/>
    </w:lvl>
  </w:abstractNum>
  <w:abstractNum w:abstractNumId="18">
    <w:nsid w:val="2A6AD9BE"/>
    <w:multiLevelType w:val="hybridMultilevel"/>
    <w:lvl w:ilvl="0">
      <w:lvlJc w:val="left"/>
      <w:lvlText w:val="*"/>
      <w:numFmt w:val="bullet"/>
      <w:start w:val="1"/>
    </w:lvl>
  </w:abstractNum>
  <w:abstractNum w:abstractNumId="19">
    <w:nsid w:val="BAAC1B4"/>
    <w:multiLevelType w:val="hybridMultilevel"/>
    <w:lvl w:ilvl="0">
      <w:lvlJc w:val="left"/>
      <w:lvlText w:val="(%1)"/>
      <w:numFmt w:val="decimal"/>
      <w:start w:val="1"/>
    </w:lvl>
  </w:abstractNum>
  <w:abstractNum w:abstractNumId="20">
    <w:nsid w:val="36B2ACBC"/>
    <w:multiLevelType w:val="hybridMultilevel"/>
    <w:lvl w:ilvl="0">
      <w:lvlJc w:val="left"/>
      <w:lvlText w:val="%1."/>
      <w:numFmt w:val="decimal"/>
      <w:start w:val="9"/>
    </w:lvl>
  </w:abstractNum>
  <w:abstractNum w:abstractNumId="21">
    <w:nsid w:val="779D8544"/>
    <w:multiLevelType w:val="hybridMultilevel"/>
    <w:lvl w:ilvl="0">
      <w:lvlJc w:val="left"/>
      <w:lvlText w:val="(%1)"/>
      <w:numFmt w:val="decimal"/>
      <w:start w:val="1"/>
    </w:lvl>
  </w:abstractNum>
  <w:abstractNum w:abstractNumId="22">
    <w:nsid w:val="4AB26E78"/>
    <w:multiLevelType w:val="hybridMultilevel"/>
    <w:lvl w:ilvl="0">
      <w:lvlJc w:val="left"/>
      <w:lvlText w:val="(%1)"/>
      <w:numFmt w:val="decimal"/>
      <w:start w:val="1"/>
    </w:lvl>
  </w:abstractNum>
  <w:abstractNum w:abstractNumId="23">
    <w:nsid w:val="21FAA2FA"/>
    <w:multiLevelType w:val="hybridMultilevel"/>
    <w:lvl w:ilvl="0">
      <w:lvlJc w:val="left"/>
      <w:lvlText w:val="(%1)"/>
      <w:numFmt w:val="decimal"/>
      <w:start w:val="1"/>
    </w:lvl>
  </w:abstractNum>
  <w:abstractNum w:abstractNumId="24">
    <w:nsid w:val="5451CF49"/>
    <w:multiLevelType w:val="hybridMultilevel"/>
    <w:lvl w:ilvl="0">
      <w:lvlJc w:val="left"/>
      <w:lvlText w:val="(%1)"/>
      <w:numFmt w:val="lowerLetter"/>
      <w:start w:val="1"/>
    </w:lvl>
  </w:abstractNum>
  <w:abstractNum w:abstractNumId="25">
    <w:nsid w:val="6181EF69"/>
    <w:multiLevelType w:val="hybridMultilevel"/>
    <w:lvl w:ilvl="0">
      <w:lvlJc w:val="left"/>
      <w:lvlText w:val="%1."/>
      <w:numFmt w:val="decimal"/>
      <w:start w:val="13"/>
    </w:lvl>
  </w:abstractNum>
  <w:abstractNum w:abstractNumId="26">
    <w:nsid w:val="3E6400E6"/>
    <w:multiLevelType w:val="hybridMultilevel"/>
    <w:lvl w:ilvl="0">
      <w:lvlJc w:val="left"/>
      <w:lvlText w:val="(%1)"/>
      <w:numFmt w:val="decimal"/>
      <w:start w:val="1"/>
    </w:lvl>
  </w:abstractNum>
  <w:abstractNum w:abstractNumId="27">
    <w:nsid w:val="14217E23"/>
    <w:multiLevelType w:val="hybridMultilevel"/>
    <w:lvl w:ilvl="0">
      <w:lvlJc w:val="left"/>
      <w:lvlText w:val="•"/>
      <w:numFmt w:val="bullet"/>
      <w:start w:val="1"/>
    </w:lvl>
  </w:abstractNum>
  <w:abstractNum w:abstractNumId="28">
    <w:nsid w:val="710757D0"/>
    <w:multiLevelType w:val="hybridMultilevel"/>
    <w:lvl w:ilvl="0">
      <w:lvlJc w:val="left"/>
      <w:lvlText w:val="%1."/>
      <w:numFmt w:val="decimal"/>
      <w:start w:val="17"/>
    </w:lvl>
  </w:abstractNum>
  <w:abstractNum w:abstractNumId="29">
    <w:nsid w:val="5015CD1A"/>
    <w:multiLevelType w:val="hybridMultilevel"/>
    <w:lvl w:ilvl="0">
      <w:lvlJc w:val="left"/>
      <w:lvlText w:val="(%1)"/>
      <w:numFmt w:val="decimal"/>
      <w:start w:val="1"/>
    </w:lvl>
  </w:abstractNum>
  <w:abstractNum w:abstractNumId="30">
    <w:nsid w:val="424479DA"/>
    <w:multiLevelType w:val="hybridMultilevel"/>
    <w:lvl w:ilvl="0">
      <w:lvlJc w:val="left"/>
      <w:lvlText w:val="(%1)"/>
      <w:numFmt w:val="lowerLetter"/>
      <w:start w:val="1"/>
    </w:lvl>
  </w:abstractNum>
  <w:abstractNum w:abstractNumId="31">
    <w:nsid w:val="1A9A9E69"/>
    <w:multiLevelType w:val="hybridMultilevel"/>
    <w:lvl w:ilvl="0">
      <w:lvlJc w:val="left"/>
      <w:lvlText w:val="(%1)"/>
      <w:numFmt w:val="lowerRoman"/>
      <w:start w:val="1"/>
    </w:lvl>
  </w:abstractNum>
  <w:abstractNum w:abstractNumId="32">
    <w:nsid w:val="475E256A"/>
    <w:multiLevelType w:val="hybridMultilevel"/>
    <w:lvl w:ilvl="0">
      <w:lvlJc w:val="left"/>
      <w:lvlText w:val="(%1)"/>
      <w:numFmt w:val="lowerRoman"/>
      <w:start w:val="1"/>
    </w:lvl>
  </w:abstractNum>
  <w:abstractNum w:abstractNumId="33">
    <w:nsid w:val="368DB37E"/>
    <w:multiLevelType w:val="hybridMultilevel"/>
    <w:lvl w:ilvl="0">
      <w:lvlJc w:val="left"/>
      <w:lvlText w:val="%1"/>
      <w:numFmt w:val="decimal"/>
      <w:start w:val="101"/>
    </w:lvl>
  </w:abstractNum>
  <w:abstractNum w:abstractNumId="34">
    <w:nsid w:val="6A3B714C"/>
    <w:multiLevelType w:val="hybridMultilevel"/>
    <w:lvl w:ilvl="0">
      <w:lvlJc w:val="left"/>
      <w:lvlText w:val="*"/>
      <w:numFmt w:val="bullet"/>
      <w:start w:val="1"/>
    </w:lvl>
  </w:abstractNum>
  <w:abstractNum w:abstractNumId="35">
    <w:nsid w:val="327B517E"/>
    <w:multiLevelType w:val="hybridMultilevel"/>
    <w:lvl w:ilvl="0">
      <w:lvlJc w:val="left"/>
      <w:lvlText w:val="%1."/>
      <w:numFmt w:val="decimal"/>
      <w:start w:val="1"/>
    </w:lvl>
  </w:abstractNum>
  <w:abstractNum w:abstractNumId="36">
    <w:nsid w:val="1F461B51"/>
    <w:multiLevelType w:val="hybridMultilevel"/>
    <w:lvl w:ilvl="0">
      <w:lvlJc w:val="left"/>
      <w:lvlText w:val="%1."/>
      <w:numFmt w:val="decimal"/>
      <w:start w:val="5"/>
    </w:lvl>
    <w:lvl w:ilvl="1">
      <w:lvlJc w:val="left"/>
      <w:lvlText w:val="•"/>
      <w:numFmt w:val="bullet"/>
      <w:start w:val="1"/>
    </w:lvl>
  </w:abstractNum>
  <w:abstractNum w:abstractNumId="37">
    <w:nsid w:val="29BACF25"/>
    <w:multiLevelType w:val="hybridMultilevel"/>
    <w:lvl w:ilvl="0">
      <w:lvlJc w:val="left"/>
      <w:lvlText w:val="%1."/>
      <w:numFmt w:val="decimal"/>
      <w:start w:val="8"/>
    </w:lvl>
  </w:abstractNum>
  <w:abstractNum w:abstractNumId="38">
    <w:nsid w:val="5D5BABB3"/>
    <w:multiLevelType w:val="hybridMultilevel"/>
    <w:lvl w:ilvl="0">
      <w:lvlJc w:val="left"/>
      <w:lvlText w:val="%1."/>
      <w:numFmt w:val="decimal"/>
      <w:start w:val="14"/>
    </w:lvl>
  </w:abstractNum>
  <w:abstractNum w:abstractNumId="39">
    <w:nsid w:val="51BF6B48"/>
    <w:multiLevelType w:val="hybridMultilevel"/>
    <w:lvl w:ilvl="0">
      <w:lvlJc w:val="left"/>
      <w:lvlText w:val="(%1)"/>
      <w:numFmt w:val="lowerLetter"/>
      <w:start w:val="1"/>
    </w:lvl>
    <w:lvl w:ilvl="1">
      <w:lvlJc w:val="left"/>
      <w:lvlText w:val="(%2)"/>
      <w:numFmt w:val="lowerLetter"/>
      <w:start w:val="9"/>
    </w:lvl>
  </w:abstractNum>
  <w:abstractNum w:abstractNumId="40">
    <w:nsid w:val="7E0F6384"/>
    <w:multiLevelType w:val="hybridMultilevel"/>
    <w:lvl w:ilvl="0">
      <w:lvlJc w:val="left"/>
      <w:lvlText w:val="%1"/>
      <w:numFmt w:val="lowerLetter"/>
      <w:start w:val="1"/>
    </w:lvl>
    <w:lvl w:ilvl="1">
      <w:lvlJc w:val="left"/>
      <w:lvlText w:val="(%2)"/>
      <w:numFmt w:val="lowerRoman"/>
      <w:start w:val="2"/>
    </w:lvl>
  </w:abstractNum>
  <w:abstractNum w:abstractNumId="41">
    <w:nsid w:val="2B4B8B53"/>
    <w:multiLevelType w:val="hybridMultilevel"/>
    <w:lvl w:ilvl="0">
      <w:lvlJc w:val="left"/>
      <w:lvlText w:val="(%1)"/>
      <w:numFmt w:val="lowerLetter"/>
      <w:start w:val="2"/>
    </w:lvl>
    <w:lvl w:ilvl="1">
      <w:lvlJc w:val="left"/>
      <w:lvlText w:val="%2"/>
      <w:numFmt w:val="lowerRoman"/>
      <w:start w:val="1"/>
    </w:lvl>
  </w:abstractNum>
  <w:abstractNum w:abstractNumId="42">
    <w:nsid w:val="72E3413A"/>
    <w:multiLevelType w:val="hybridMultilevel"/>
    <w:lvl w:ilvl="0">
      <w:lvlJc w:val="left"/>
      <w:lvlText w:val="(%1)"/>
      <w:numFmt w:val="lowerLetter"/>
      <w:start w:val="1"/>
    </w:lvl>
    <w:lvl w:ilvl="1">
      <w:lvlJc w:val="left"/>
      <w:lvlText w:val="(%2)"/>
      <w:numFmt w:val="lowerRoman"/>
      <w:start w:val="1"/>
    </w:lvl>
  </w:abstractNum>
  <w:abstractNum w:abstractNumId="43">
    <w:nsid w:val="116AE494"/>
    <w:multiLevelType w:val="hybridMultilevel"/>
    <w:lvl w:ilvl="0">
      <w:lvlJc w:val="left"/>
      <w:lvlText w:val="(%1)"/>
      <w:numFmt w:val="lowerRoman"/>
      <w:start w:val="3"/>
    </w:lvl>
  </w:abstractNum>
  <w:abstractNum w:abstractNumId="44">
    <w:nsid w:val="3494B2FB"/>
    <w:multiLevelType w:val="hybridMultilevel"/>
    <w:lvl w:ilvl="0">
      <w:lvlJc w:val="left"/>
      <w:lvlText w:val="(%1)"/>
      <w:numFmt w:val="lowerRoman"/>
      <w:start w:val="5"/>
    </w:lvl>
  </w:abstractNum>
  <w:abstractNum w:abstractNumId="45">
    <w:nsid w:val="B13A31"/>
    <w:multiLevelType w:val="hybridMultilevel"/>
    <w:lvl w:ilvl="0">
      <w:lvlJc w:val="left"/>
      <w:lvlText w:val="(%1)"/>
      <w:numFmt w:val="lowerLetter"/>
      <w:start w:val="1"/>
    </w:lvl>
  </w:abstractNum>
  <w:abstractNum w:abstractNumId="46">
    <w:nsid w:val="64429599"/>
    <w:multiLevelType w:val="hybridMultilevel"/>
    <w:lvl w:ilvl="0">
      <w:lvlJc w:val="left"/>
      <w:lvlText w:val="(%1)"/>
      <w:numFmt w:val="lowerLetter"/>
      <w:start w:val="2"/>
    </w:lvl>
  </w:abstractNum>
  <w:abstractNum w:abstractNumId="47">
    <w:nsid w:val="631F1690"/>
    <w:multiLevelType w:val="hybridMultilevel"/>
    <w:lvl w:ilvl="0">
      <w:lvlJc w:val="left"/>
      <w:lvlText w:val="(%1)"/>
      <w:numFmt w:val="lowerLetter"/>
      <w:start w:val="5"/>
    </w:lvl>
  </w:abstractNum>
  <w:abstractNum w:abstractNumId="48">
    <w:nsid w:val="25973E32"/>
    <w:multiLevelType w:val="hybridMultilevel"/>
    <w:lvl w:ilvl="0">
      <w:lvlJc w:val="left"/>
      <w:lvlText w:val="%1."/>
      <w:numFmt w:val="decimal"/>
      <w:start w:val="1"/>
    </w:lvl>
  </w:abstractNum>
  <w:abstractNum w:abstractNumId="49">
    <w:nsid w:val="EAD6F57"/>
    <w:multiLevelType w:val="hybridMultilevel"/>
    <w:lvl w:ilvl="0">
      <w:lvlJc w:val="left"/>
      <w:lvlText w:val="%1."/>
      <w:numFmt w:val="decimal"/>
      <w:start w:val="4"/>
    </w:lvl>
  </w:abstractNum>
  <w:abstractNum w:abstractNumId="50">
    <w:nsid w:val="6EC9D844"/>
    <w:multiLevelType w:val="hybridMultilevel"/>
    <w:lvl w:ilvl="0">
      <w:lvlJc w:val="left"/>
      <w:lvlText w:val="%1."/>
      <w:numFmt w:val="decimal"/>
      <w:start w:val="11"/>
    </w:lvl>
  </w:abstractNum>
  <w:abstractNum w:abstractNumId="51">
    <w:nsid w:val="5C49EAEE"/>
    <w:multiLevelType w:val="hybridMultilevel"/>
    <w:lvl w:ilvl="0">
      <w:lvlJc w:val="left"/>
      <w:lvlText w:val="%1."/>
      <w:numFmt w:val="decimal"/>
      <w:start w:val="1"/>
    </w:lvl>
  </w:abstractNum>
  <w:abstractNum w:abstractNumId="52">
    <w:nsid w:val="64AF49B"/>
    <w:multiLevelType w:val="hybridMultilevel"/>
    <w:lvl w:ilvl="0">
      <w:lvlJc w:val="left"/>
      <w:lvlText w:val="%1."/>
      <w:numFmt w:val="decimal"/>
      <w:start w:val="5"/>
    </w:lvl>
  </w:abstractNum>
  <w:abstractNum w:abstractNumId="53">
    <w:nsid w:val="397C46BC"/>
    <w:multiLevelType w:val="hybridMultilevel"/>
    <w:lvl w:ilvl="0">
      <w:lvlJc w:val="left"/>
      <w:lvlText w:val="%1."/>
      <w:numFmt w:val="decimal"/>
      <w:start w:val="7"/>
    </w:lvl>
    <w:lvl w:ilvl="1">
      <w:lvlJc w:val="left"/>
      <w:lvlText w:val="%2."/>
      <w:numFmt w:val="lowerLetter"/>
      <w:start w:val="1"/>
    </w:lvl>
  </w:abstractNum>
  <w:abstractNum w:abstractNumId="54">
    <w:nsid w:val="7E448DE9"/>
    <w:multiLevelType w:val="hybridMultilevel"/>
    <w:lvl w:ilvl="0">
      <w:lvlJc w:val="left"/>
      <w:lvlText w:val="%1."/>
      <w:numFmt w:val="lowerLetter"/>
      <w:start w:val="5"/>
    </w:lvl>
  </w:abstractNum>
  <w:abstractNum w:abstractNumId="55">
    <w:nsid w:val="5A9CC3E5"/>
    <w:multiLevelType w:val="hybridMultilevel"/>
    <w:lvl w:ilvl="0">
      <w:lvlJc w:val="left"/>
      <w:lvlText w:val="%1."/>
      <w:numFmt w:val="decimal"/>
      <w:start w:val="8"/>
    </w:lvl>
  </w:abstractNum>
  <w:abstractNum w:abstractNumId="56">
    <w:nsid w:val="1AFE3625"/>
    <w:multiLevelType w:val="hybridMultilevel"/>
    <w:lvl w:ilvl="0">
      <w:lvlJc w:val="left"/>
      <w:lvlText w:val="%1"/>
      <w:numFmt w:val="decimal"/>
      <w:start w:val="1"/>
    </w:lvl>
    <w:lvl w:ilvl="1">
      <w:lvlJc w:val="left"/>
      <w:lvlText w:val="%2."/>
      <w:numFmt w:val="lowerLetter"/>
      <w:start w:val="1"/>
    </w:lvl>
  </w:abstractNum>
  <w:abstractNum w:abstractNumId="57">
    <w:nsid w:val="3CA88ECF"/>
    <w:multiLevelType w:val="hybridMultilevel"/>
    <w:lvl w:ilvl="0">
      <w:lvlJc w:val="left"/>
      <w:lvlText w:val="%1."/>
      <w:numFmt w:val="decimal"/>
      <w:start w:val="9"/>
    </w:lvl>
    <w:lvl w:ilvl="1">
      <w:lvlJc w:val="left"/>
      <w:lvlText w:val="%2"/>
      <w:numFmt w:val="lowerLetter"/>
      <w:start w:val="1"/>
    </w:lvl>
  </w:abstractNum>
  <w:abstractNum w:abstractNumId="58">
    <w:nsid w:val="6EBE4208"/>
    <w:multiLevelType w:val="hybridMultilevel"/>
    <w:lvl w:ilvl="0">
      <w:lvlJc w:val="left"/>
      <w:lvlText w:val="%1."/>
      <w:numFmt w:val="decimal"/>
      <w:start w:val="11"/>
    </w:lvl>
    <w:lvl w:ilvl="1">
      <w:lvlJc w:val="left"/>
      <w:lvlText w:val="(%2)"/>
      <w:numFmt w:val="lowerRoman"/>
      <w:start w:val="2"/>
    </w:lvl>
  </w:abstractNum>
  <w:abstractNum w:abstractNumId="59">
    <w:nsid w:val="C058DF5"/>
    <w:multiLevelType w:val="hybridMultilevel"/>
    <w:lvl w:ilvl="0">
      <w:lvlJc w:val="left"/>
      <w:lvlText w:val="%1."/>
      <w:numFmt w:val="decimal"/>
      <w:start w:val="13"/>
    </w:lvl>
  </w:abstractNum>
  <w:abstractNum w:abstractNumId="60">
    <w:nsid w:val="CBE5BE9"/>
    <w:multiLevelType w:val="hybridMultilevel"/>
    <w:lvl w:ilvl="0">
      <w:lvlJc w:val="left"/>
      <w:lvlText w:val="%1."/>
      <w:numFmt w:val="decimal"/>
      <w:start w:val="17"/>
    </w:lvl>
  </w:abstractNum>
  <w:abstractNum w:abstractNumId="61">
    <w:nsid w:val="3102BBE2"/>
    <w:multiLevelType w:val="hybridMultilevel"/>
    <w:lvl w:ilvl="0">
      <w:lvlJc w:val="left"/>
      <w:lvlText w:val="%1."/>
      <w:numFmt w:val="decimal"/>
      <w:start w:val="22"/>
    </w:lvl>
  </w:abstractNum>
  <w:abstractNum w:abstractNumId="62">
    <w:nsid w:val="26A02C5E"/>
    <w:multiLevelType w:val="hybridMultilevel"/>
    <w:lvl w:ilvl="0">
      <w:lvlJc w:val="left"/>
      <w:lvlText w:val="(%1)"/>
      <w:numFmt w:val="lowerRoman"/>
      <w:start w:val="3"/>
    </w:lvl>
  </w:abstractNum>
  <w:abstractNum w:abstractNumId="63">
    <w:nsid w:val="541C8153"/>
    <w:multiLevelType w:val="hybridMultilevel"/>
    <w:lvl w:ilvl="0">
      <w:lvlJc w:val="left"/>
      <w:lvlText w:val="(%1)"/>
      <w:numFmt w:val="lowerRoman"/>
      <w:start w:val="5"/>
    </w:lvl>
  </w:abstractNum>
  <w:abstractNum w:abstractNumId="64">
    <w:nsid w:val="67906F60"/>
    <w:multiLevelType w:val="hybridMultilevel"/>
    <w:lvl w:ilvl="0">
      <w:lvlJc w:val="left"/>
      <w:lvlText w:val="(%1)"/>
      <w:numFmt w:val="lowerLetter"/>
      <w:start w:val="4"/>
    </w:lvl>
  </w:abstractNum>
  <w:abstractNum w:abstractNumId="65">
    <w:nsid w:val="10DB9DAA"/>
    <w:multiLevelType w:val="hybridMultilevel"/>
    <w:lvl w:ilvl="0">
      <w:lvlJc w:val="left"/>
      <w:lvlText w:val="(%1)"/>
      <w:numFmt w:val="lowerLetter"/>
      <w:start w:val="2"/>
    </w:lvl>
  </w:abstractNum>
  <w:abstractNum w:abstractNumId="66">
    <w:nsid w:val="697D2D2"/>
    <w:multiLevelType w:val="hybridMultilevel"/>
    <w:lvl w:ilvl="0">
      <w:lvlJc w:val="left"/>
      <w:lvlText w:val="(%1)"/>
      <w:numFmt w:val="lowerLetter"/>
      <w:start w:val="1"/>
    </w:lvl>
  </w:abstractNum>
  <w:abstractNum w:abstractNumId="67">
    <w:nsid w:val="6D68AB2"/>
    <w:multiLevelType w:val="hybridMultilevel"/>
    <w:lvl w:ilvl="0">
      <w:lvlJc w:val="left"/>
      <w:lvlText w:val="(%1)"/>
      <w:numFmt w:val="lowerLetter"/>
      <w:start w:val="1"/>
    </w:lvl>
  </w:abstractNum>
  <w:abstractNum w:abstractNumId="68">
    <w:nsid w:val="3A966CD0"/>
    <w:multiLevelType w:val="hybridMultilevel"/>
    <w:lvl w:ilvl="0">
      <w:lvlJc w:val="left"/>
      <w:lvlText w:val="(%1)"/>
      <w:numFmt w:val="lowerLetter"/>
      <w:start w:val="3"/>
    </w:lvl>
  </w:abstractNum>
  <w:abstractNum w:abstractNumId="69">
    <w:nsid w:val="63F37E85"/>
    <w:multiLevelType w:val="hybridMultilevel"/>
    <w:lvl w:ilvl="0">
      <w:lvlJc w:val="left"/>
      <w:lvlText w:val="(%1)"/>
      <w:numFmt w:val="lowerLetter"/>
      <w:start w:val="1"/>
    </w:lvl>
  </w:abstractNum>
  <w:abstractNum w:abstractNumId="70">
    <w:nsid w:val="5895F5FA"/>
    <w:multiLevelType w:val="hybridMultilevel"/>
    <w:lvl w:ilvl="0">
      <w:lvlJc w:val="left"/>
      <w:lvlText w:val="(%1)"/>
      <w:numFmt w:val="lowerLetter"/>
      <w:start w:val="1"/>
    </w:lvl>
  </w:abstractNum>
  <w:abstractNum w:abstractNumId="71">
    <w:nsid w:val="38A5D054"/>
    <w:multiLevelType w:val="hybridMultilevel"/>
    <w:lvl w:ilvl="0">
      <w:lvlJc w:val="left"/>
      <w:lvlText w:val="(%1)"/>
      <w:numFmt w:val="lowerLetter"/>
      <w:start w:val="2"/>
    </w:lvl>
    <w:lvl w:ilvl="1">
      <w:lvlJc w:val="left"/>
      <w:lvlText w:val="(%2)"/>
      <w:numFmt w:val="lowerLetter"/>
      <w:start w:val="9"/>
    </w:lvl>
  </w:abstractNum>
  <w:abstractNum w:abstractNumId="72">
    <w:nsid w:val="F3F09D8"/>
    <w:multiLevelType w:val="hybridMultilevel"/>
    <w:lvl w:ilvl="0">
      <w:lvlJc w:val="left"/>
      <w:lvlText w:val="%1"/>
      <w:numFmt w:val="lowerLetter"/>
      <w:start w:val="1"/>
    </w:lvl>
    <w:lvl w:ilvl="1">
      <w:lvlJc w:val="left"/>
      <w:lvlText w:val="(%2)"/>
      <w:numFmt w:val="lowerLetter"/>
      <w:start w:val="25"/>
    </w:lvl>
  </w:abstractNum>
  <w:abstractNum w:abstractNumId="73">
    <w:nsid w:val="4B793735"/>
    <w:multiLevelType w:val="hybridMultilevel"/>
    <w:lvl w:ilvl="0">
      <w:lvlJc w:val="left"/>
      <w:lvlText w:val="(%1)"/>
      <w:numFmt w:val="lowerLetter"/>
      <w:start w:val="5"/>
    </w:lvl>
    <w:lvl w:ilvl="1">
      <w:lvlJc w:val="left"/>
      <w:lvlText w:val="%2"/>
      <w:numFmt w:val="lowerLetter"/>
      <w:start w:val="1"/>
    </w:lvl>
  </w:abstractNum>
  <w:abstractNum w:abstractNumId="74">
    <w:nsid w:val="4A10B4E8"/>
    <w:multiLevelType w:val="hybridMultilevel"/>
    <w:lvl w:ilvl="0">
      <w:lvlJc w:val="left"/>
      <w:lvlText w:val="A"/>
      <w:numFmt w:val="bullet"/>
      <w:start w:val="1"/>
    </w:lvl>
  </w:abstractNum>
  <w:abstractNum w:abstractNumId="75">
    <w:nsid w:val="43D3BCD4"/>
    <w:multiLevelType w:val="hybridMultilevel"/>
    <w:lvl w:ilvl="0">
      <w:lvlJc w:val="left"/>
      <w:lvlText w:val="(%1)"/>
      <w:numFmt w:val="lowerLetter"/>
      <w:start w:val="1"/>
    </w:lvl>
  </w:abstractNum>
  <w:abstractNum w:abstractNumId="76">
    <w:nsid w:val="4C2A7166"/>
    <w:multiLevelType w:val="hybridMultilevel"/>
    <w:lvl w:ilvl="0">
      <w:lvlJc w:val="left"/>
      <w:lvlText w:val="(%1)"/>
      <w:numFmt w:val="lowerLetter"/>
      <w:start w:val="3"/>
    </w:lvl>
  </w:abstractNum>
  <w:abstractNum w:abstractNumId="77">
    <w:nsid w:val="2E534A82"/>
    <w:multiLevelType w:val="hybridMultilevel"/>
    <w:lvl w:ilvl="0">
      <w:lvlJc w:val="left"/>
      <w:lvlText w:val="(%1)"/>
      <w:numFmt w:val="lowerLetter"/>
      <w:start w:val="1"/>
    </w:lvl>
  </w:abstractNum>
  <w:abstractNum w:abstractNumId="78">
    <w:nsid w:val="26F2D364"/>
    <w:multiLevelType w:val="hybridMultilevel"/>
    <w:lvl w:ilvl="0">
      <w:lvlJc w:val="left"/>
      <w:lvlText w:val="(%1)"/>
      <w:numFmt w:val="lowerLetter"/>
      <w:start w:val="1"/>
    </w:lvl>
  </w:abstractNum>
  <w:abstractNum w:abstractNumId="79">
    <w:nsid w:val="71C1AF98"/>
    <w:multiLevelType w:val="hybridMultilevel"/>
    <w:lvl w:ilvl="0">
      <w:lvlJc w:val="left"/>
      <w:lvlText w:val="(%1)"/>
      <w:numFmt w:val="lowerLetter"/>
      <w:start w:val="1"/>
    </w:lvl>
  </w:abstractNum>
  <w:abstractNum w:abstractNumId="80">
    <w:nsid w:val="3D00B9D9"/>
    <w:multiLevelType w:val="hybridMultilevel"/>
    <w:lvl w:ilvl="0">
      <w:lvlJc w:val="left"/>
      <w:lvlText w:val="%1"/>
      <w:numFmt w:val="lowerLetter"/>
      <w:start w:val="1"/>
    </w:lvl>
    <w:lvl w:ilvl="1">
      <w:lvlJc w:val="left"/>
      <w:lvlText w:val="(%2)"/>
      <w:numFmt w:val="lowerLetter"/>
      <w:start w:val="6"/>
    </w:lvl>
  </w:abstractNum>
  <w:abstractNum w:abstractNumId="81">
    <w:nsid w:val="15BCABA8"/>
    <w:multiLevelType w:val="hybridMultilevel"/>
    <w:lvl w:ilvl="0">
      <w:lvlJc w:val="left"/>
      <w:lvlText w:val="(%1)"/>
      <w:numFmt w:val="lowerLetter"/>
      <w:start w:val="35"/>
    </w:lvl>
    <w:lvl w:ilvl="1">
      <w:lvlJc w:val="left"/>
      <w:lvlText w:val="(%2)"/>
      <w:numFmt w:val="lowerLetter"/>
      <w:start w:val="7"/>
    </w:lvl>
  </w:abstractNum>
  <w:abstractNum w:abstractNumId="82">
    <w:nsid w:val="4E0B9A87"/>
    <w:multiLevelType w:val="hybridMultilevel"/>
    <w:lvl w:ilvl="0">
      <w:lvlJc w:val="left"/>
      <w:lvlText w:val="(%1)"/>
      <w:numFmt w:val="lowerLetter"/>
      <w:start w:val="1"/>
    </w:lvl>
  </w:abstractNum>
  <w:abstractNum w:abstractNumId="83">
    <w:nsid w:val="434BAE75"/>
    <w:multiLevelType w:val="hybridMultilevel"/>
    <w:lvl w:ilvl="0">
      <w:lvlJc w:val="left"/>
      <w:lvlText w:val="(%1)"/>
      <w:numFmt w:val="lowerLetter"/>
      <w:start w:val="2"/>
    </w:lvl>
  </w:abstractNum>
  <w:abstractNum w:abstractNumId="84">
    <w:nsid w:val="4F38F265"/>
    <w:multiLevelType w:val="hybridMultilevel"/>
    <w:lvl w:ilvl="0">
      <w:lvlJc w:val="left"/>
      <w:lvlText w:val="(%1)"/>
      <w:numFmt w:val="lowerLetter"/>
      <w:start w:val="5"/>
    </w:lvl>
  </w:abstractNum>
  <w:abstractNum w:abstractNumId="85">
    <w:nsid w:val="4C502870"/>
    <w:multiLevelType w:val="hybridMultilevel"/>
    <w:lvl w:ilvl="0">
      <w:lvlJc w:val="left"/>
      <w:lvlText w:val="(%1)"/>
      <w:numFmt w:val="lowerRoman"/>
      <w:start w:val="5"/>
    </w:lvl>
  </w:abstractNum>
  <w:abstractNum w:abstractNumId="86">
    <w:nsid w:val="1DE8725A"/>
    <w:multiLevelType w:val="hybridMultilevel"/>
    <w:lvl w:ilvl="0">
      <w:lvlJc w:val="left"/>
      <w:lvlText w:val="(%1)"/>
      <w:numFmt w:val="lowerRoman"/>
      <w:start w:val="11"/>
    </w:lvl>
  </w:abstractNum>
  <w:abstractNum w:abstractNumId="87">
    <w:nsid w:val="6A37288A"/>
    <w:multiLevelType w:val="hybridMultilevel"/>
    <w:lvl w:ilvl="0">
      <w:lvlJc w:val="left"/>
      <w:lvlText w:val="(%1)"/>
      <w:numFmt w:val="lowerRoman"/>
      <w:start w:val="14"/>
    </w:lvl>
  </w:abstractNum>
  <w:abstractNum w:abstractNumId="88">
    <w:nsid w:val="8F8B73F"/>
    <w:multiLevelType w:val="hybridMultilevel"/>
    <w:lvl w:ilvl="0">
      <w:lvlJc w:val="left"/>
      <w:lvlText w:val="(%1)"/>
      <w:numFmt w:val="lowerRoman"/>
      <w:start w:val="1"/>
    </w:lvl>
  </w:abstractNum>
  <w:abstractNum w:abstractNumId="89">
    <w:nsid w:val="CA6B462"/>
    <w:multiLevelType w:val="hybridMultilevel"/>
    <w:lvl w:ilvl="0">
      <w:lvlJc w:val="left"/>
      <w:lvlText w:val="(%1)"/>
      <w:numFmt w:val="lowerLetter"/>
      <w:start w:val="1"/>
    </w:lvl>
  </w:abstractNum>
  <w:abstractNum w:abstractNumId="90">
    <w:nsid w:val="763CB680"/>
    <w:multiLevelType w:val="hybridMultilevel"/>
    <w:lvl w:ilvl="0">
      <w:lvlJc w:val="left"/>
      <w:lvlText w:val="(%1)"/>
      <w:numFmt w:val="lowerLetter"/>
      <w:start w:val="1"/>
    </w:lvl>
  </w:abstractNum>
  <w:abstractNum w:abstractNumId="91">
    <w:nsid w:val="15B71329"/>
    <w:multiLevelType w:val="hybridMultilevel"/>
    <w:lvl w:ilvl="0">
      <w:lvlJc w:val="left"/>
      <w:lvlText w:val="(%1)"/>
      <w:numFmt w:val="lowerLetter"/>
      <w:start w:val="1"/>
    </w:lvl>
  </w:abstractNum>
  <w:abstractNum w:abstractNumId="92">
    <w:nsid w:val="3DA97044"/>
    <w:multiLevelType w:val="hybridMultilevel"/>
    <w:lvl w:ilvl="0">
      <w:lvlJc w:val="left"/>
      <w:lvlText w:val="%1"/>
      <w:numFmt w:val="lowerRoman"/>
      <w:start w:val="1"/>
    </w:lvl>
    <w:lvl w:ilvl="1">
      <w:lvlJc w:val="left"/>
      <w:lvlText w:val="(%2)"/>
      <w:numFmt w:val="lowerLetter"/>
      <w:start w:val="1"/>
    </w:lvl>
  </w:abstractNum>
  <w:abstractNum w:abstractNumId="93">
    <w:nsid w:val="1CDCE2DE"/>
    <w:multiLevelType w:val="hybridMultilevel"/>
    <w:lvl w:ilvl="0">
      <w:lvlJc w:val="left"/>
      <w:lvlText w:val="(%1)"/>
      <w:numFmt w:val="lowerRoman"/>
      <w:start w:val="6"/>
    </w:lvl>
    <w:lvl w:ilvl="1">
      <w:lvlJc w:val="left"/>
      <w:lvlText w:val="(%2)"/>
      <w:numFmt w:val="lowerLetter"/>
      <w:start w:val="2"/>
    </w:lvl>
  </w:abstractNum>
  <w:abstractNum w:abstractNumId="94">
    <w:nsid w:val="69D3947C"/>
    <w:multiLevelType w:val="hybridMultilevel"/>
    <w:lvl w:ilvl="0">
      <w:lvlJc w:val="left"/>
      <w:lvlText w:val="(%1)"/>
      <w:numFmt w:val="lowerLetter"/>
      <w:start w:val="1"/>
    </w:lvl>
  </w:abstractNum>
  <w:abstractNum w:abstractNumId="95">
    <w:nsid w:val="2539DFA5"/>
    <w:multiLevelType w:val="hybridMultilevel"/>
    <w:lvl w:ilvl="0">
      <w:lvlJc w:val="left"/>
      <w:lvlText w:val="(%1)"/>
      <w:numFmt w:val="lowerLetter"/>
      <w:start w:val="3"/>
    </w:lvl>
  </w:abstractNum>
  <w:abstractNum w:abstractNumId="96">
    <w:nsid w:val="2DB88089"/>
    <w:multiLevelType w:val="hybridMultilevel"/>
    <w:lvl w:ilvl="0">
      <w:lvlJc w:val="left"/>
      <w:lvlText w:val="(%1)"/>
      <w:numFmt w:val="lowerLetter"/>
      <w:start w:val="1"/>
    </w:lvl>
  </w:abstractNum>
  <w:abstractNum w:abstractNumId="97">
    <w:nsid w:val="706B674E"/>
    <w:multiLevelType w:val="hybridMultilevel"/>
    <w:lvl w:ilvl="0">
      <w:lvlJc w:val="left"/>
      <w:lvlText w:val="(%1)"/>
      <w:numFmt w:val="lowerLetter"/>
      <w:start w:val="3"/>
    </w:lvl>
  </w:abstractNum>
  <w:abstractNum w:abstractNumId="98">
    <w:nsid w:val="2C106A57"/>
    <w:multiLevelType w:val="hybridMultilevel"/>
    <w:lvl w:ilvl="0">
      <w:lvlJc w:val="left"/>
      <w:lvlText w:val="(%1)"/>
      <w:numFmt w:val="lowerLetter"/>
      <w:start w:val="1"/>
    </w:lvl>
  </w:abstractNum>
  <w:abstractNum w:abstractNumId="99">
    <w:nsid w:val="684EED59"/>
    <w:multiLevelType w:val="hybridMultilevel"/>
    <w:lvl w:ilvl="0">
      <w:lvlJc w:val="left"/>
      <w:lvlText w:val="(%1)"/>
      <w:numFmt w:val="lowerLetter"/>
      <w:start w:val="1"/>
    </w:lvl>
  </w:abstractNum>
  <w:abstractNum w:abstractNumId="100">
    <w:nsid w:val="545EE5D3"/>
    <w:multiLevelType w:val="hybridMultilevel"/>
    <w:lvl w:ilvl="0">
      <w:lvlJc w:val="left"/>
      <w:lvlText w:val="%1"/>
      <w:numFmt w:val="lowerLetter"/>
      <w:start w:val="1"/>
    </w:lvl>
    <w:lvl w:ilvl="1">
      <w:lvlJc w:val="left"/>
      <w:lvlText w:val="(%2)"/>
      <w:numFmt w:val="lowerLetter"/>
      <w:start w:val="1"/>
    </w:lvl>
  </w:abstractNum>
  <w:abstractNum w:abstractNumId="101">
    <w:nsid w:val="4A66051"/>
    <w:multiLevelType w:val="hybridMultilevel"/>
    <w:lvl w:ilvl="0">
      <w:lvlJc w:val="left"/>
      <w:lvlText w:val="(%1)"/>
      <w:numFmt w:val="lowerLetter"/>
      <w:start w:val="35"/>
    </w:lvl>
    <w:lvl w:ilvl="1">
      <w:lvlJc w:val="left"/>
      <w:lvlText w:val="%2"/>
      <w:numFmt w:val="lowerLetter"/>
      <w:start w:val="1"/>
    </w:lvl>
  </w:abstractNum>
  <w:abstractNum w:abstractNumId="102">
    <w:nsid w:val="20F4BDAD"/>
    <w:multiLevelType w:val="hybridMultilevel"/>
    <w:lvl w:ilvl="0">
      <w:lvlJc w:val="left"/>
      <w:lvlText w:val="(%1)"/>
      <w:numFmt w:val="upperLetter"/>
      <w:start w:val="1"/>
    </w:lvl>
  </w:abstractNum>
  <w:abstractNum w:abstractNumId="103">
    <w:nsid w:val="639DEFAC"/>
    <w:multiLevelType w:val="hybridMultilevel"/>
    <w:lvl w:ilvl="0">
      <w:lvlJc w:val="left"/>
      <w:lvlText w:val="(%1)"/>
      <w:numFmt w:val="lowerLetter"/>
      <w:start w:val="1"/>
    </w:lvl>
  </w:abstractNum>
  <w:abstractNum w:abstractNumId="104">
    <w:nsid w:val="501F9786"/>
    <w:multiLevelType w:val="hybridMultilevel"/>
    <w:lvl w:ilvl="0">
      <w:lvlJc w:val="left"/>
      <w:lvlText w:val="(%1)"/>
      <w:numFmt w:val="lowerLetter"/>
      <w:start w:val="2"/>
    </w:lvl>
  </w:abstractNum>
  <w:abstractNum w:abstractNumId="105">
    <w:nsid w:val="6B057295"/>
    <w:multiLevelType w:val="hybridMultilevel"/>
    <w:lvl w:ilvl="0">
      <w:lvlJc w:val="left"/>
      <w:lvlText w:val="(%1)"/>
      <w:numFmt w:val="lowerLetter"/>
      <w:start w:val="3"/>
    </w:lvl>
  </w:abstractNum>
  <w:abstractNum w:abstractNumId="106">
    <w:nsid w:val="2771AC80"/>
    <w:multiLevelType w:val="hybridMultilevel"/>
    <w:lvl w:ilvl="0">
      <w:lvlJc w:val="left"/>
      <w:lvlText w:val="(%1)"/>
      <w:numFmt w:val="lowerLetter"/>
      <w:start w:val="1"/>
    </w:lvl>
    <w:lvl w:ilvl="1">
      <w:lvlJc w:val="left"/>
      <w:lvlText w:val="(%2)"/>
      <w:numFmt w:val="lowerLetter"/>
      <w:start w:val="9"/>
    </w:lvl>
  </w:abstractNum>
  <w:abstractNum w:abstractNumId="107">
    <w:nsid w:val="1C4A08EC"/>
    <w:multiLevelType w:val="hybridMultilevel"/>
    <w:lvl w:ilvl="0">
      <w:lvlJc w:val="left"/>
      <w:lvlText w:val="(%1)"/>
      <w:numFmt w:val="decimal"/>
      <w:start w:val="1"/>
    </w:lvl>
    <w:lvl w:ilvl="1">
      <w:lvlJc w:val="left"/>
      <w:lvlText w:val="(%2)"/>
      <w:numFmt w:val="lowerRoman"/>
      <w:start w:val="2"/>
    </w:lvl>
  </w:abstractNum>
  <w:abstractNum w:abstractNumId="108">
    <w:nsid w:val="1958BD17"/>
    <w:multiLevelType w:val="hybridMultilevel"/>
    <w:lvl w:ilvl="0">
      <w:lvlJc w:val="left"/>
      <w:lvlText w:val="%1"/>
      <w:numFmt w:val="lowerRoman"/>
      <w:start w:val="1"/>
    </w:lvl>
    <w:lvl w:ilvl="1">
      <w:lvlJc w:val="left"/>
      <w:lvlText w:val="(%2)"/>
      <w:numFmt w:val="upperLetter"/>
      <w:start w:val="2"/>
    </w:lvl>
  </w:abstractNum>
  <w:abstractNum w:abstractNumId="109">
    <w:nsid w:val="4E647FE4"/>
    <w:multiLevelType w:val="hybridMultilevel"/>
    <w:lvl w:ilvl="0">
      <w:lvlJc w:val="left"/>
      <w:lvlText w:val="(%1)"/>
      <w:numFmt w:val="lowerRoman"/>
      <w:start w:val="3"/>
    </w:lvl>
    <w:lvl w:ilvl="1">
      <w:lvlJc w:val="left"/>
      <w:lvlText w:val="%2"/>
      <w:numFmt w:val="upperLetter"/>
      <w:start w:val="1"/>
    </w:lvl>
  </w:abstractNum>
  <w:abstractNum w:abstractNumId="110">
    <w:nsid w:val="E0BB885"/>
    <w:multiLevelType w:val="hybridMultilevel"/>
    <w:lvl w:ilvl="0">
      <w:lvlJc w:val="left"/>
      <w:lvlText w:val="(%1)"/>
      <w:numFmt w:val="upperLetter"/>
      <w:start w:val="2"/>
    </w:lvl>
  </w:abstractNum>
  <w:abstractNum w:abstractNumId="111">
    <w:nsid w:val="565976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5"/>
    </w:lvl>
  </w:abstractNum>
  <w:abstractNum w:abstractNumId="112">
    <w:nsid w:val="64212B8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13">
    <w:nsid w:val="5C17530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4">
    <w:nsid w:val="19A52566"/>
    <w:multiLevelType w:val="hybridMultilevel"/>
    <w:lvl w:ilvl="0">
      <w:lvlJc w:val="left"/>
      <w:lvlText w:val="(%1)"/>
      <w:numFmt w:val="lowerRoman"/>
      <w:start w:val="2"/>
    </w:lvl>
  </w:abstractNum>
  <w:abstractNum w:abstractNumId="115">
    <w:nsid w:val="335A1DF1"/>
    <w:multiLevelType w:val="hybridMultilevel"/>
    <w:lvl w:ilvl="0">
      <w:lvlJc w:val="left"/>
      <w:lvlText w:val="(%1)"/>
      <w:numFmt w:val="lowerLetter"/>
      <w:start w:val="3"/>
    </w:lvl>
    <w:lvl w:ilvl="1">
      <w:lvlJc w:val="left"/>
      <w:lvlText w:val="(%2)"/>
      <w:numFmt w:val="lowerRoman"/>
      <w:start w:val="1"/>
    </w:lvl>
  </w:abstractNum>
  <w:abstractNum w:abstractNumId="116">
    <w:nsid w:val="28677B7C"/>
    <w:multiLevelType w:val="hybridMultilevel"/>
    <w:lvl w:ilvl="0">
      <w:lvlJc w:val="left"/>
      <w:lvlText w:val="%1"/>
      <w:numFmt w:val="lowerLetter"/>
      <w:start w:val="1"/>
    </w:lvl>
    <w:lvl w:ilvl="1">
      <w:lvlJc w:val="left"/>
      <w:lvlText w:val="(%2)"/>
      <w:numFmt w:val="lowerRoman"/>
      <w:start w:val="6"/>
    </w:lvl>
  </w:abstractNum>
  <w:abstractNum w:abstractNumId="117">
    <w:nsid w:val="378D97C0"/>
    <w:multiLevelType w:val="hybridMultilevel"/>
    <w:lvl w:ilvl="0">
      <w:lvlJc w:val="left"/>
      <w:lvlText w:val="(%1)"/>
      <w:numFmt w:val="lowerLetter"/>
      <w:start w:val="4"/>
    </w:lvl>
    <w:lvl w:ilvl="1">
      <w:lvlJc w:val="left"/>
      <w:lvlText w:val="(%2)"/>
      <w:numFmt w:val="lowerRoman"/>
      <w:start w:val="1"/>
    </w:lvl>
  </w:abstractNum>
  <w:abstractNum w:abstractNumId="118">
    <w:nsid w:val="1D91467C"/>
    <w:multiLevelType w:val="hybridMultilevel"/>
    <w:lvl w:ilvl="0">
      <w:lvlJc w:val="left"/>
      <w:lvlText w:val="(%1)"/>
      <w:numFmt w:val="lowerLetter"/>
      <w:start w:val="9"/>
    </w:lvl>
    <w:lvl w:ilvl="1">
      <w:lvlJc w:val="left"/>
      <w:lvlText w:val="%2"/>
      <w:numFmt w:val="lowerRoman"/>
      <w:start w:val="1"/>
    </w:lvl>
  </w:abstractNum>
  <w:abstractNum w:abstractNumId="119">
    <w:nsid w:val="316032BB"/>
    <w:multiLevelType w:val="hybridMultilevel"/>
    <w:lvl w:ilvl="0">
      <w:lvlJc w:val="left"/>
      <w:lvlText w:val="(%1)"/>
      <w:numFmt w:val="lowerLetter"/>
      <w:start w:val="5"/>
    </w:lvl>
    <w:lvl w:ilvl="1">
      <w:lvlJc w:val="left"/>
      <w:lvlText w:val="%2"/>
      <w:numFmt w:val="lowerRoman"/>
      <w:start w:val="1"/>
    </w:lvl>
  </w:abstractNum>
  <w:abstractNum w:abstractNumId="120">
    <w:nsid w:val="44344C22"/>
    <w:multiLevelType w:val="hybridMultilevel"/>
    <w:lvl w:ilvl="0">
      <w:lvlJc w:val="left"/>
      <w:lvlText w:val="(%1)"/>
      <w:numFmt w:val="lowerRoman"/>
      <w:start w:val="1"/>
    </w:lvl>
  </w:abstractNum>
  <w:abstractNum w:abstractNumId="121">
    <w:nsid w:val="13CDFCFC"/>
    <w:multiLevelType w:val="hybridMultilevel"/>
    <w:lvl w:ilvl="0">
      <w:lvlJc w:val="left"/>
      <w:lvlText w:val="(%1)"/>
      <w:numFmt w:val="lowerLetter"/>
      <w:start w:val="6"/>
    </w:lvl>
  </w:abstractNum>
  <w:abstractNum w:abstractNumId="122">
    <w:nsid w:val="471745E4"/>
    <w:multiLevelType w:val="hybridMultilevel"/>
    <w:lvl w:ilvl="0">
      <w:lvlJc w:val="left"/>
      <w:lvlText w:val="%1"/>
      <w:numFmt w:val="lowerLetter"/>
      <w:start w:val="1"/>
    </w:lvl>
    <w:lvl w:ilvl="1">
      <w:lvlJc w:val="left"/>
      <w:lvlText w:val="(%2)"/>
      <w:numFmt w:val="lowerLetter"/>
      <w:start w:val="7"/>
    </w:lvl>
  </w:abstractNum>
  <w:abstractNum w:abstractNumId="123">
    <w:nsid w:val="1DDBC66"/>
    <w:multiLevelType w:val="hybridMultilevel"/>
    <w:lvl w:ilvl="0">
      <w:lvlJc w:val="left"/>
      <w:lvlText w:val="(%1)"/>
      <w:numFmt w:val="lowerLetter"/>
      <w:start w:val="35"/>
    </w:lvl>
    <w:lvl w:ilvl="1">
      <w:lvlJc w:val="left"/>
      <w:lvlText w:val="(%2)"/>
      <w:numFmt w:val="lowerLetter"/>
      <w:start w:val="9"/>
    </w:lvl>
  </w:abstractNum>
  <w:abstractNum w:abstractNumId="124">
    <w:nsid w:val="30AADFDA"/>
    <w:multiLevelType w:val="hybridMultilevel"/>
    <w:lvl w:ilvl="0">
      <w:lvlJc w:val="left"/>
      <w:lvlText w:val="(%1)"/>
      <w:numFmt w:val="lowerLetter"/>
      <w:start w:val="10"/>
    </w:lvl>
  </w:abstractNum>
  <w:abstractNum w:abstractNumId="125">
    <w:nsid w:val="30EADA61"/>
    <w:multiLevelType w:val="hybridMultilevel"/>
    <w:lvl w:ilvl="0">
      <w:lvlJc w:val="left"/>
      <w:lvlText w:val="(%1)"/>
      <w:numFmt w:val="lowerLetter"/>
      <w:start w:val="1"/>
    </w:lvl>
  </w:abstractNum>
  <w:abstractNum w:abstractNumId="126">
    <w:nsid w:val="27179C0B"/>
    <w:multiLevelType w:val="hybridMultilevel"/>
    <w:lvl w:ilvl="0">
      <w:lvlJc w:val="left"/>
      <w:lvlText w:val="(%1)"/>
      <w:numFmt w:val="lowerLetter"/>
      <w:start w:val="2"/>
    </w:lvl>
    <w:lvl w:ilvl="1">
      <w:lvlJc w:val="left"/>
      <w:lvlText w:val="(%2)"/>
      <w:numFmt w:val="lowerLetter"/>
      <w:start w:val="9"/>
    </w:lvl>
  </w:abstractNum>
  <w:abstractNum w:abstractNumId="127">
    <w:nsid w:val="5E636063"/>
    <w:multiLevelType w:val="hybridMultilevel"/>
    <w:lvl w:ilvl="0">
      <w:lvlJc w:val="left"/>
      <w:lvlText w:val="%1"/>
      <w:numFmt w:val="lowerLetter"/>
      <w:start w:val="1"/>
    </w:lvl>
    <w:lvl w:ilvl="1">
      <w:lvlJc w:val="left"/>
      <w:lvlText w:val="(%2)"/>
      <w:numFmt w:val="lowerRoman"/>
      <w:start w:val="2"/>
    </w:lvl>
  </w:abstractNum>
  <w:abstractNum w:abstractNumId="128">
    <w:nsid w:val="215641AF"/>
    <w:multiLevelType w:val="hybridMultilevel"/>
    <w:lvl w:ilvl="0">
      <w:lvlJc w:val="left"/>
      <w:lvlText w:val="(%1)"/>
      <w:numFmt w:val="lowerLetter"/>
      <w:start w:val="4"/>
    </w:lvl>
    <w:lvl w:ilvl="1">
      <w:lvlJc w:val="left"/>
      <w:lvlText w:val="(%2)"/>
      <w:numFmt w:val="lowerRoman"/>
      <w:start w:val="1"/>
    </w:lvl>
  </w:abstractNum>
  <w:abstractNum w:abstractNumId="129">
    <w:nsid w:val="53280662"/>
    <w:multiLevelType w:val="hybridMultilevel"/>
    <w:lvl w:ilvl="0">
      <w:lvlJc w:val="left"/>
      <w:lvlText w:val="(%1)"/>
      <w:numFmt w:val="lowerLetter"/>
      <w:start w:val="5"/>
    </w:lvl>
  </w:abstractNum>
  <w:abstractNum w:abstractNumId="130">
    <w:nsid w:val="46B24DBC"/>
    <w:multiLevelType w:val="hybridMultilevel"/>
    <w:lvl w:ilvl="0">
      <w:lvlJc w:val="left"/>
      <w:lvlText w:val="(%1)"/>
      <w:numFmt w:val="lowerLetter"/>
      <w:start w:val="1"/>
    </w:lvl>
    <w:lvl w:ilvl="1">
      <w:lvlJc w:val="left"/>
      <w:lvlText w:val="(%2)"/>
      <w:numFmt w:val="lowerLetter"/>
      <w:start w:val="9"/>
    </w:lvl>
  </w:abstractNum>
  <w:abstractNum w:abstractNumId="131">
    <w:nsid w:val="75B52783"/>
    <w:multiLevelType w:val="hybridMultilevel"/>
    <w:lvl w:ilvl="0">
      <w:lvlJc w:val="left"/>
      <w:lvlText w:val="%1"/>
      <w:numFmt w:val="lowerLetter"/>
      <w:start w:val="1"/>
    </w:lvl>
    <w:lvl w:ilvl="1">
      <w:lvlJc w:val="left"/>
      <w:lvlText w:val="(%2)"/>
      <w:numFmt w:val="lowerLetter"/>
      <w:start w:val="35"/>
    </w:lvl>
  </w:abstractNum>
  <w:abstractNum w:abstractNumId="132">
    <w:nsid w:val="57CE66B4"/>
    <w:multiLevelType w:val="hybridMultilevel"/>
    <w:lvl w:ilvl="0">
      <w:lvlJc w:val="left"/>
      <w:lvlText w:val="(%1)"/>
      <w:numFmt w:val="lowerLetter"/>
      <w:start w:val="2"/>
    </w:lvl>
    <w:lvl w:ilvl="1">
      <w:lvlJc w:val="left"/>
      <w:lvlText w:val="(%2)"/>
      <w:numFmt w:val="lowerLetter"/>
      <w:start w:val="9"/>
    </w:lvl>
  </w:abstractNum>
  <w:abstractNum w:abstractNumId="133">
    <w:nsid w:val="67A70B69"/>
    <w:multiLevelType w:val="hybridMultilevel"/>
    <w:lvl w:ilvl="0">
      <w:lvlJc w:val="left"/>
      <w:lvlText w:val="(%1)"/>
      <w:numFmt w:val="lowerRoman"/>
      <w:start w:val="2"/>
    </w:lvl>
  </w:abstractNum>
  <w:abstractNum w:abstractNumId="134">
    <w:nsid w:val="5953172F"/>
    <w:multiLevelType w:val="hybridMultilevel"/>
    <w:lvl w:ilvl="0">
      <w:lvlJc w:val="left"/>
      <w:lvlText w:val="(%1)"/>
      <w:numFmt w:val="lowerRoman"/>
      <w:start w:val="5"/>
    </w:lvl>
  </w:abstractNum>
  <w:abstractNum w:abstractNumId="135">
    <w:nsid w:val="27EDFE3A"/>
    <w:multiLevelType w:val="hybridMultilevel"/>
    <w:lvl w:ilvl="0">
      <w:lvlJc w:val="left"/>
      <w:lvlText w:val="%1"/>
      <w:numFmt w:val="upperLetter"/>
      <w:start w:val="1"/>
    </w:lvl>
    <w:lvl w:ilvl="1">
      <w:lvlJc w:val="left"/>
      <w:lvlText w:val="(%2)"/>
      <w:numFmt w:val="lowerLetter"/>
      <w:start w:val="1"/>
    </w:lvl>
  </w:abstractNum>
  <w:abstractNum w:abstractNumId="136">
    <w:nsid w:val="52AC7DFF"/>
    <w:multiLevelType w:val="hybridMultilevel"/>
    <w:lvl w:ilvl="0">
      <w:lvlJc w:val="left"/>
      <w:lvlText w:val="(%1)"/>
      <w:numFmt w:val="upperLetter"/>
      <w:start w:val="3"/>
    </w:lvl>
    <w:lvl w:ilvl="1">
      <w:lvlJc w:val="left"/>
      <w:lvlText w:val="%2"/>
      <w:numFmt w:val="lowerLetter"/>
      <w:start w:val="1"/>
    </w:lvl>
  </w:abstractNum>
  <w:abstractNum w:abstractNumId="137">
    <w:nsid w:val="C4C3AF"/>
    <w:multiLevelType w:val="hybridMultilevel"/>
    <w:lvl w:ilvl="0">
      <w:lvlJc w:val="left"/>
      <w:lvlText w:val="(%1)"/>
      <w:numFmt w:val="lowerLetter"/>
      <w:start w:val="2"/>
    </w:lvl>
    <w:lvl w:ilvl="1">
      <w:lvlJc w:val="left"/>
      <w:lvlText w:val="(%2)"/>
      <w:numFmt w:val="lowerRoman"/>
      <w:start w:val="1"/>
    </w:lvl>
  </w:abstractNum>
  <w:abstractNum w:abstractNumId="138">
    <w:nsid w:val="44380727"/>
    <w:multiLevelType w:val="hybridMultilevel"/>
    <w:lvl w:ilvl="0">
      <w:lvlJc w:val="left"/>
      <w:lvlText w:val="(%1)"/>
      <w:numFmt w:val="lowerLetter"/>
      <w:start w:val="1"/>
    </w:lvl>
  </w:abstractNum>
  <w:abstractNum w:abstractNumId="139">
    <w:nsid w:val="6C053B16"/>
    <w:multiLevelType w:val="hybridMultilevel"/>
    <w:lvl w:ilvl="0">
      <w:lvlJc w:val="left"/>
      <w:lvlText w:val="(%1)"/>
      <w:numFmt w:val="lowerLetter"/>
      <w:start w:val="2"/>
    </w:lvl>
  </w:abstractNum>
  <w:abstractNum w:abstractNumId="140">
    <w:nsid w:val="4F294393"/>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2"/>
    </w:lvl>
  </w:abstractNum>
  <w:abstractNum w:abstractNumId="141">
    <w:nsid w:val="5243BFAC"/>
    <w:multiLevelType w:val="hybridMultilevel"/>
    <w:lvl w:ilvl="0">
      <w:lvlJc w:val="left"/>
      <w:lvlText w:val="(%1)"/>
      <w:numFmt w:val="lowerLetter"/>
      <w:start w:val="4"/>
    </w:lvl>
  </w:abstractNum>
  <w:abstractNum w:abstractNumId="142">
    <w:nsid w:val="425EB207"/>
    <w:multiLevelType w:val="hybridMultilevel"/>
    <w:lvl w:ilvl="0">
      <w:lvlJc w:val="left"/>
      <w:lvlText w:val="(%1)"/>
      <w:numFmt w:val="lowerLetter"/>
      <w:start w:val="1"/>
    </w:lvl>
  </w:abstractNum>
  <w:abstractNum w:abstractNumId="143">
    <w:nsid w:val="334A6F1F"/>
    <w:multiLevelType w:val="hybridMultilevel"/>
    <w:lvl w:ilvl="0">
      <w:lvlJc w:val="left"/>
      <w:lvlText w:val="(%1)"/>
      <w:numFmt w:val="lowerRoman"/>
      <w:start w:val="2"/>
    </w:lvl>
  </w:abstractNum>
  <w:abstractNum w:abstractNumId="144">
    <w:nsid w:val="2E5B12B8"/>
    <w:multiLevelType w:val="hybridMultilevel"/>
    <w:lvl w:ilvl="0">
      <w:lvlJc w:val="left"/>
      <w:lvlText w:val="(%1)"/>
      <w:numFmt w:val="lowerLetter"/>
      <w:start w:val="1"/>
    </w:lvl>
  </w:abstractNum>
  <w:abstractNum w:abstractNumId="145">
    <w:nsid w:val="5C03D76D"/>
    <w:multiLevelType w:val="hybridMultilevel"/>
    <w:lvl w:ilvl="0">
      <w:lvlJc w:val="left"/>
      <w:lvlText w:val="(%1)"/>
      <w:numFmt w:val="lowerLetter"/>
      <w:start w:val="2"/>
    </w:lvl>
  </w:abstractNum>
  <w:abstractNum w:abstractNumId="146">
    <w:nsid w:val="66A48D11"/>
    <w:multiLevelType w:val="hybridMultilevel"/>
    <w:lvl w:ilvl="0">
      <w:lvlJc w:val="left"/>
      <w:lvlText w:val="(%1)"/>
      <w:numFmt w:val="lowerLetter"/>
      <w:start w:val="2"/>
    </w:lvl>
  </w:abstractNum>
  <w:abstractNum w:abstractNumId="147">
    <w:nsid w:val="56C28E34"/>
    <w:multiLevelType w:val="hybridMultilevel"/>
    <w:lvl w:ilvl="0">
      <w:lvlJc w:val="left"/>
      <w:lvlText w:val="(%1)"/>
      <w:numFmt w:val="lowerLetter"/>
      <w:start w:val="2"/>
    </w:lvl>
    <w:lvl w:ilvl="1">
      <w:lvlJc w:val="left"/>
      <w:lvlText w:val="(%2)"/>
      <w:numFmt w:val="lowerLetter"/>
      <w:start w:val="35"/>
    </w:lvl>
  </w:abstractNum>
  <w:abstractNum w:abstractNumId="148">
    <w:nsid w:val="13916F2D"/>
    <w:multiLevelType w:val="hybridMultilevel"/>
    <w:lvl w:ilvl="0">
      <w:lvlJc w:val="left"/>
      <w:lvlText w:val="(%1)"/>
      <w:numFmt w:val="lowerLetter"/>
      <w:start w:val="3"/>
    </w:lvl>
  </w:abstractNum>
  <w:abstractNum w:abstractNumId="149">
    <w:nsid w:val="435D38D"/>
    <w:multiLevelType w:val="hybridMultilevel"/>
    <w:lvl w:ilvl="0">
      <w:lvlJc w:val="left"/>
      <w:lvlText w:val="(%1)"/>
      <w:numFmt w:val="lowerRoman"/>
      <w:start w:val="1"/>
    </w:lvl>
  </w:abstractNum>
  <w:abstractNum w:abstractNumId="150">
    <w:nsid w:val="822C0EF"/>
    <w:multiLevelType w:val="hybridMultilevel"/>
    <w:lvl w:ilvl="0">
      <w:lvlJc w:val="left"/>
      <w:lvlText w:val="(%1)"/>
      <w:numFmt w:val="lowerLetter"/>
      <w:start w:val="2"/>
    </w:lvl>
  </w:abstractNum>
  <w:abstractNum w:abstractNumId="151">
    <w:nsid w:val="57C5BB4F"/>
    <w:multiLevelType w:val="hybridMultilevel"/>
    <w:lvl w:ilvl="0">
      <w:lvlJc w:val="left"/>
      <w:lvlText w:val="(%1)"/>
      <w:numFmt w:val="lowerLetter"/>
      <w:start w:val="3"/>
    </w:lvl>
  </w:abstractNum>
  <w:abstractNum w:abstractNumId="152">
    <w:nsid w:val="1803D089"/>
    <w:multiLevelType w:val="hybridMultilevel"/>
    <w:lvl w:ilvl="0">
      <w:lvlJc w:val="left"/>
      <w:lvlText w:val="(%1)"/>
      <w:numFmt w:val="lowerLetter"/>
      <w:start w:val="1"/>
    </w:lvl>
  </w:abstractNum>
  <w:abstractNum w:abstractNumId="153">
    <w:nsid w:val="4F3A06D4"/>
    <w:multiLevelType w:val="hybridMultilevel"/>
    <w:lvl w:ilvl="0">
      <w:lvlJc w:val="left"/>
      <w:lvlText w:val="(%1)"/>
      <w:numFmt w:val="lowerLetter"/>
      <w:start w:val="3"/>
    </w:lvl>
    <w:lvl w:ilvl="1">
      <w:lvlJc w:val="left"/>
      <w:lvlText w:val="(%2)"/>
      <w:numFmt w:val="lowerRoman"/>
      <w:start w:val="1"/>
    </w:lvl>
  </w:abstractNum>
  <w:abstractNum w:abstractNumId="154">
    <w:nsid w:val="59A377B6"/>
    <w:multiLevelType w:val="hybridMultilevel"/>
    <w:lvl w:ilvl="0">
      <w:lvlJc w:val="left"/>
      <w:lvlText w:val="%1"/>
      <w:numFmt w:val="decimal"/>
      <w:start w:val="1"/>
    </w:lvl>
    <w:lvl w:ilvl="1">
      <w:lvlJc w:val="left"/>
      <w:lvlText w:val="(%2)"/>
      <w:numFmt w:val="lowerRoman"/>
      <w:start w:val="3"/>
    </w:lvl>
  </w:abstractNum>
  <w:abstractNum w:abstractNumId="155">
    <w:nsid w:val="48AEB063"/>
    <w:multiLevelType w:val="hybridMultilevel"/>
    <w:lvl w:ilvl="0">
      <w:lvlJc w:val="left"/>
      <w:lvlText w:val="(%1)"/>
      <w:numFmt w:val="decimal"/>
      <w:start w:val="50"/>
    </w:lvl>
    <w:lvl w:ilvl="1">
      <w:lvlJc w:val="left"/>
      <w:lvlText w:val="%2"/>
      <w:numFmt w:val="lowerRoman"/>
      <w:start w:val="1"/>
    </w:lvl>
  </w:abstractNum>
  <w:abstractNum w:abstractNumId="156">
    <w:nsid w:val="24E135"/>
    <w:multiLevelType w:val="hybridMultilevel"/>
    <w:lvl w:ilvl="0">
      <w:lvlJc w:val="left"/>
      <w:lvlText w:val="(%1)"/>
      <w:numFmt w:val="lowerLetter"/>
      <w:start w:val="7"/>
    </w:lvl>
  </w:abstractNum>
  <w:abstractNum w:abstractNumId="157">
    <w:nsid w:val="BB13C1"/>
    <w:multiLevelType w:val="hybridMultilevel"/>
    <w:lvl w:ilvl="0">
      <w:lvlJc w:val="left"/>
      <w:lvlText w:val="(%1)"/>
      <w:numFmt w:val="lowerLetter"/>
      <w:start w:val="1"/>
    </w:lvl>
  </w:abstractNum>
  <w:abstractNum w:abstractNumId="158">
    <w:nsid w:val="271210C7"/>
    <w:multiLevelType w:val="hybridMultilevel"/>
    <w:lvl w:ilvl="0">
      <w:lvlJc w:val="left"/>
      <w:lvlText w:val="(%1)"/>
      <w:numFmt w:val="lowerLetter"/>
      <w:start w:val="2"/>
    </w:lvl>
  </w:abstractNum>
  <w:abstractNum w:abstractNumId="159">
    <w:nsid w:val="217B22E4"/>
    <w:multiLevelType w:val="hybridMultilevel"/>
    <w:lvl w:ilvl="0">
      <w:lvlJc w:val="left"/>
      <w:lvlText w:val="(%1)"/>
      <w:numFmt w:val="lowerRoman"/>
      <w:start w:val="1"/>
    </w:lvl>
  </w:abstractNum>
  <w:abstractNum w:abstractNumId="160">
    <w:nsid w:val="53E31A24"/>
    <w:multiLevelType w:val="hybridMultilevel"/>
    <w:lvl w:ilvl="0">
      <w:lvlJc w:val="left"/>
      <w:lvlText w:val="(%1)"/>
      <w:numFmt w:val="lowerLetter"/>
      <w:start w:val="25"/>
    </w:lvl>
    <w:lvl w:ilvl="1">
      <w:lvlJc w:val="left"/>
      <w:lvlText w:val="(%2)"/>
      <w:numFmt w:val="lowerRoman"/>
      <w:start w:val="3"/>
    </w:lvl>
    <w:lvl w:ilvl="2">
      <w:lvlJc w:val="left"/>
      <w:lvlText w:val="(%3)"/>
      <w:numFmt w:val="upperLetter"/>
      <w:start w:val="1"/>
    </w:lvl>
  </w:abstractNum>
  <w:abstractNum w:abstractNumId="161">
    <w:nsid w:val="6DC45E83"/>
    <w:multiLevelType w:val="hybridMultilevel"/>
    <w:lvl w:ilvl="0">
      <w:lvlJc w:val="left"/>
      <w:lvlText w:val="%1"/>
      <w:numFmt w:val="lowerLetter"/>
      <w:start w:val="1"/>
    </w:lvl>
    <w:lvl w:ilvl="1">
      <w:lvlJc w:val="left"/>
      <w:lvlText w:val="(%2)"/>
      <w:numFmt w:val="lowerRoman"/>
      <w:start w:val="4"/>
    </w:lvl>
  </w:abstractNum>
  <w:abstractNum w:abstractNumId="162">
    <w:nsid w:val="17304A67"/>
    <w:multiLevelType w:val="hybridMultilevel"/>
    <w:lvl w:ilvl="0">
      <w:lvlJc w:val="left"/>
      <w:lvlText w:val="(%1)"/>
      <w:numFmt w:val="lowerLetter"/>
      <w:start w:val="2"/>
    </w:lvl>
    <w:lvl w:ilvl="1">
      <w:lvlJc w:val="left"/>
      <w:lvlText w:val="%2"/>
      <w:numFmt w:val="lowerRoman"/>
      <w:start w:val="1"/>
    </w:lvl>
  </w:abstractNum>
  <w:abstractNum w:abstractNumId="163">
    <w:nsid w:val="2BB180D8"/>
    <w:multiLevelType w:val="hybridMultilevel"/>
    <w:lvl w:ilvl="0">
      <w:lvlJc w:val="left"/>
      <w:lvlText w:val="(%1)"/>
      <w:numFmt w:val="lowerLetter"/>
      <w:start w:val="1"/>
    </w:lvl>
  </w:abstractNum>
  <w:abstractNum w:abstractNumId="164">
    <w:nsid w:val="556B69ED"/>
    <w:multiLevelType w:val="hybridMultilevel"/>
    <w:lvl w:ilvl="0">
      <w:lvlJc w:val="left"/>
      <w:lvlText w:val="%1"/>
      <w:numFmt w:val="lowerLetter"/>
      <w:start w:val="1"/>
    </w:lvl>
    <w:lvl w:ilvl="1">
      <w:lvlJc w:val="left"/>
      <w:lvlText w:val="(%2)"/>
      <w:numFmt w:val="upperLetter"/>
      <w:start w:val="2"/>
    </w:lvl>
  </w:abstractNum>
  <w:abstractNum w:abstractNumId="165">
    <w:nsid w:val="70836196"/>
    <w:multiLevelType w:val="hybridMultilevel"/>
    <w:lvl w:ilvl="0">
      <w:lvlJc w:val="left"/>
      <w:lvlText w:val="(%1)"/>
      <w:numFmt w:val="lowerLetter"/>
      <w:start w:val="25"/>
    </w:lvl>
    <w:lvl w:ilvl="1">
      <w:lvlJc w:val="left"/>
      <w:lvlText w:val="(%2)"/>
      <w:numFmt w:val="upperLetter"/>
      <w:start w:val="3"/>
    </w:lvl>
  </w:abstractNum>
  <w:abstractNum w:abstractNumId="166">
    <w:nsid w:val="539F7F12"/>
    <w:multiLevelType w:val="hybridMultilevel"/>
    <w:lvl w:ilvl="0">
      <w:lvlJc w:val="left"/>
      <w:lvlText w:val="(%1)"/>
      <w:numFmt w:val="lowerLetter"/>
      <w:start w:val="2"/>
    </w:lvl>
  </w:abstractNum>
  <w:abstractNum w:abstractNumId="167">
    <w:nsid w:val="2817E7EC"/>
    <w:multiLevelType w:val="hybridMultilevel"/>
    <w:lvl w:ilvl="0">
      <w:lvlJc w:val="left"/>
      <w:lvlText w:val="(%1)"/>
      <w:numFmt w:val="lowerLetter"/>
      <w:start w:val="1"/>
    </w:lvl>
    <w:lvl w:ilvl="1">
      <w:lvlJc w:val="left"/>
      <w:lvlText w:val="(%2)"/>
      <w:numFmt w:val="lowerRoman"/>
      <w:start w:val="2"/>
    </w:lvl>
  </w:abstractNum>
  <w:abstractNum w:abstractNumId="168">
    <w:nsid w:val="71482545"/>
    <w:multiLevelType w:val="hybridMultilevel"/>
    <w:lvl w:ilvl="0">
      <w:lvlJc w:val="left"/>
      <w:lvlText w:val="%1"/>
      <w:numFmt w:val="lowerLetter"/>
      <w:start w:val="1"/>
    </w:lvl>
    <w:lvl w:ilvl="1">
      <w:lvlJc w:val="left"/>
      <w:lvlText w:val="(%2)"/>
      <w:numFmt w:val="lowerLetter"/>
      <w:start w:val="35"/>
    </w:lvl>
  </w:abstractNum>
  <w:abstractNum w:abstractNumId="169">
    <w:nsid w:val="17D78639"/>
    <w:multiLevelType w:val="hybridMultilevel"/>
    <w:lvl w:ilvl="0">
      <w:lvlJc w:val="left"/>
      <w:lvlText w:val="(%1)"/>
      <w:numFmt w:val="lowerLetter"/>
      <w:start w:val="4"/>
    </w:lvl>
    <w:lvl w:ilvl="1">
      <w:lvlJc w:val="left"/>
      <w:lvlText w:val="%2"/>
      <w:numFmt w:val="lowerLetter"/>
      <w:start w:val="1"/>
    </w:lvl>
  </w:abstractNum>
  <w:abstractNum w:abstractNumId="170">
    <w:nsid w:val="141D2302"/>
    <w:multiLevelType w:val="hybridMultilevel"/>
    <w:lvl w:ilvl="0">
      <w:lvlJc w:val="left"/>
      <w:lvlText w:val="(%1)"/>
      <w:numFmt w:val="lowerRoman"/>
      <w:start w:val="1"/>
    </w:lvl>
  </w:abstractNum>
  <w:abstractNum w:abstractNumId="171">
    <w:nsid w:val="407168D8"/>
    <w:multiLevelType w:val="hybridMultilevel"/>
    <w:lvl w:ilvl="0">
      <w:lvlJc w:val="left"/>
      <w:lvlText w:val="(%1)"/>
      <w:numFmt w:val="lowerRoman"/>
      <w:start w:val="2"/>
    </w:lvl>
  </w:abstractNum>
  <w:abstractNum w:abstractNumId="172">
    <w:nsid w:val="6A1B45E5"/>
    <w:multiLevelType w:val="hybridMultilevel"/>
    <w:lvl w:ilvl="0">
      <w:lvlJc w:val="left"/>
      <w:lvlText w:val="(%1)"/>
      <w:numFmt w:val="upperLetter"/>
      <w:start w:val="2"/>
    </w:lvl>
    <w:lvl w:ilvl="1">
      <w:lvlJc w:val="left"/>
      <w:lvlText w:val="(%2)"/>
      <w:numFmt w:val="upperLetter"/>
      <w:start w:val="9"/>
    </w:lvl>
  </w:abstractNum>
  <w:abstractNum w:abstractNumId="173">
    <w:nsid w:val="567BD50A"/>
    <w:multiLevelType w:val="hybridMultilevel"/>
    <w:lvl w:ilvl="0">
      <w:lvlJc w:val="left"/>
      <w:lvlText w:val="(%1)"/>
      <w:numFmt w:val="upperLetter"/>
      <w:start w:val="35"/>
    </w:lvl>
  </w:abstractNum>
  <w:abstractNum w:abstractNumId="174">
    <w:nsid w:val="73BBD7F8"/>
    <w:multiLevelType w:val="hybridMultilevel"/>
    <w:lvl w:ilvl="0">
      <w:lvlJc w:val="left"/>
      <w:lvlText w:val="(%1)"/>
      <w:numFmt w:val="upperLetter"/>
      <w:start w:val="61"/>
    </w:lvl>
  </w:abstractNum>
  <w:abstractNum w:abstractNumId="175">
    <w:nsid w:val="1876589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76">
    <w:nsid w:val="327FAC77"/>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77">
    <w:nsid w:val="5A606509"/>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78">
    <w:nsid w:val="6F38E6D1"/>
    <w:multiLevelType w:val="hybridMultilevel"/>
    <w:lvl w:ilvl="0">
      <w:lvlJc w:val="left"/>
      <w:lvlText w:val="(%1)"/>
      <w:numFmt w:val="lowerLetter"/>
      <w:start w:val="7"/>
    </w:lvl>
  </w:abstractNum>
  <w:abstractNum w:abstractNumId="179">
    <w:nsid w:val="46111BA5"/>
    <w:multiLevelType w:val="hybridMultilevel"/>
    <w:lvl w:ilvl="0">
      <w:lvlJc w:val="left"/>
      <w:lvlText w:val="%1"/>
      <w:numFmt w:val="lowerLetter"/>
      <w:start w:val="1"/>
    </w:lvl>
    <w:lvl w:ilvl="1">
      <w:lvlJc w:val="left"/>
      <w:lvlText w:val="(%2)"/>
      <w:numFmt w:val="lowerLetter"/>
      <w:start w:val="1"/>
    </w:lvl>
  </w:abstractNum>
  <w:abstractNum w:abstractNumId="180">
    <w:nsid w:val="5E963896"/>
    <w:multiLevelType w:val="hybridMultilevel"/>
    <w:lvl w:ilvl="0">
      <w:lvlJc w:val="left"/>
      <w:lvlText w:val="(%1)"/>
      <w:numFmt w:val="lowerLetter"/>
      <w:start w:val="35"/>
    </w:lvl>
    <w:lvl w:ilvl="1">
      <w:lvlJc w:val="left"/>
      <w:lvlText w:val="%2"/>
      <w:numFmt w:val="lowerLetter"/>
      <w:start w:val="1"/>
    </w:lvl>
  </w:abstractNum>
  <w:abstractNum w:abstractNumId="181">
    <w:nsid w:val="775BA7C1"/>
    <w:multiLevelType w:val="hybridMultilevel"/>
    <w:lvl w:ilvl="0">
      <w:lvlJc w:val="left"/>
      <w:lvlText w:val="(%1)"/>
      <w:numFmt w:val="lowerLetter"/>
      <w:start w:val="1"/>
    </w:lvl>
  </w:abstractNum>
  <w:abstractNum w:abstractNumId="182">
    <w:nsid w:val="1DD6D6F4"/>
    <w:multiLevelType w:val="hybridMultilevel"/>
    <w:lvl w:ilvl="0">
      <w:lvlJc w:val="left"/>
      <w:lvlText w:val="(%1)"/>
      <w:numFmt w:val="lowerLetter"/>
      <w:start w:val="2"/>
    </w:lvl>
  </w:abstractNum>
  <w:abstractNum w:abstractNumId="183">
    <w:nsid w:val="769A091F"/>
    <w:multiLevelType w:val="hybridMultilevel"/>
    <w:lvl w:ilvl="0">
      <w:lvlJc w:val="left"/>
      <w:lvlText w:val="(%1)"/>
      <w:numFmt w:val="lowerRoman"/>
      <w:start w:val="1"/>
    </w:lvl>
  </w:abstractNum>
  <w:abstractNum w:abstractNumId="184">
    <w:nsid w:val="4695AE95"/>
    <w:multiLevelType w:val="hybridMultilevel"/>
    <w:lvl w:ilvl="0">
      <w:lvlJc w:val="left"/>
      <w:lvlText w:val="(%1)"/>
      <w:numFmt w:val="lowerRoman"/>
      <w:start w:val="1"/>
    </w:lvl>
  </w:abstractNum>
  <w:abstractNum w:abstractNumId="185">
    <w:nsid w:val="777A4EAA"/>
    <w:multiLevelType w:val="hybridMultilevel"/>
    <w:lvl w:ilvl="0">
      <w:lvlJc w:val="left"/>
      <w:lvlText w:val="(%1)"/>
      <w:numFmt w:val="lowerLetter"/>
      <w:start w:val="1"/>
    </w:lvl>
    <w:lvl w:ilvl="1">
      <w:lvlJc w:val="left"/>
      <w:lvlText w:val="(%2)"/>
      <w:numFmt w:val="lowerRoman"/>
      <w:start w:val="1"/>
    </w:lvl>
  </w:abstractNum>
  <w:abstractNum w:abstractNumId="186">
    <w:nsid w:val="3F48B982"/>
    <w:multiLevelType w:val="hybridMultilevel"/>
    <w:lvl w:ilvl="0">
      <w:lvlJc w:val="left"/>
      <w:lvlText w:val="(%1)"/>
      <w:numFmt w:val="lowerLetter"/>
      <w:start w:val="4"/>
    </w:lvl>
    <w:lvl w:ilvl="1">
      <w:lvlJc w:val="left"/>
      <w:lvlText w:val="%2"/>
      <w:numFmt w:val="lowerRoman"/>
      <w:start w:val="1"/>
    </w:lvl>
  </w:abstractNum>
  <w:abstractNum w:abstractNumId="187">
    <w:nsid w:val="46BA8FCA"/>
    <w:multiLevelType w:val="hybridMultilevel"/>
    <w:lvl w:ilvl="0">
      <w:lvlJc w:val="left"/>
      <w:lvlText w:val="(%1)"/>
      <w:numFmt w:val="lowerRoman"/>
      <w:start w:val="3"/>
    </w:lvl>
  </w:abstractNum>
  <w:abstractNum w:abstractNumId="188">
    <w:nsid w:val="7835626C"/>
    <w:multiLevelType w:val="hybridMultilevel"/>
    <w:lvl w:ilvl="0">
      <w:lvlJc w:val="left"/>
      <w:lvlText w:val="(%1)"/>
      <w:numFmt w:val="lowerLetter"/>
      <w:start w:val="2"/>
    </w:lvl>
  </w:abstractNum>
  <w:abstractNum w:abstractNumId="189">
    <w:nsid w:val="665ACA49"/>
    <w:multiLevelType w:val="hybridMultilevel"/>
    <w:lvl w:ilvl="0">
      <w:lvlJc w:val="left"/>
      <w:lvlText w:val="(%1)"/>
      <w:numFmt w:val="lowerLetter"/>
      <w:start w:val="1"/>
    </w:lvl>
  </w:abstractNum>
  <w:abstractNum w:abstractNumId="190">
    <w:nsid w:val="6835B2AE"/>
    <w:multiLevelType w:val="hybridMultilevel"/>
    <w:lvl w:ilvl="0">
      <w:lvlJc w:val="left"/>
      <w:lvlText w:val="(%1)"/>
      <w:numFmt w:val="lowerLetter"/>
      <w:start w:val="1"/>
    </w:lvl>
  </w:abstractNum>
  <w:abstractNum w:abstractNumId="191">
    <w:nsid w:val="4C187C90"/>
    <w:multiLevelType w:val="hybridMultilevel"/>
    <w:lvl w:ilvl="0">
      <w:lvlJc w:val="left"/>
      <w:lvlText w:val="(%1)"/>
      <w:numFmt w:val="lowerLetter"/>
      <w:start w:val="1"/>
    </w:lvl>
    <w:lvl w:ilvl="1">
      <w:lvlJc w:val="left"/>
      <w:lvlText w:val="(%2)"/>
      <w:numFmt w:val="lowerRoman"/>
      <w:start w:val="1"/>
    </w:lvl>
  </w:abstractNum>
  <w:abstractNum w:abstractNumId="192">
    <w:nsid w:val="541F28CD"/>
    <w:multiLevelType w:val="hybridMultilevel"/>
    <w:lvl w:ilvl="0">
      <w:lvlJc w:val="left"/>
      <w:lvlText w:val="(%1)"/>
      <w:numFmt w:val="lowerLetter"/>
      <w:start w:val="3"/>
    </w:lvl>
  </w:abstractNum>
  <w:abstractNum w:abstractNumId="193">
    <w:nsid w:val="7F65FD16"/>
    <w:multiLevelType w:val="hybridMultilevel"/>
    <w:lvl w:ilvl="0">
      <w:lvlJc w:val="left"/>
      <w:lvlText w:val="(%1)"/>
      <w:numFmt w:val="lowerLetter"/>
      <w:start w:val="1"/>
    </w:lvl>
  </w:abstractNum>
  <w:abstractNum w:abstractNumId="194">
    <w:nsid w:val="77C9FD68"/>
    <w:multiLevelType w:val="hybridMultilevel"/>
    <w:lvl w:ilvl="0">
      <w:lvlJc w:val="left"/>
      <w:lvlText w:val="(%1)"/>
      <w:numFmt w:val="lowerLetter"/>
      <w:start w:val="4"/>
    </w:lvl>
  </w:abstractNum>
  <w:abstractNum w:abstractNumId="195">
    <w:nsid w:val="298A92BA"/>
    <w:multiLevelType w:val="hybridMultilevel"/>
    <w:lvl w:ilvl="0">
      <w:lvlJc w:val="left"/>
      <w:lvlText w:val="(%1)"/>
      <w:numFmt w:val="lowerLetter"/>
      <w:start w:val="1"/>
    </w:lvl>
  </w:abstractNum>
  <w:abstractNum w:abstractNumId="196">
    <w:nsid w:val="6FE95EAC"/>
    <w:multiLevelType w:val="hybridMultilevel"/>
    <w:lvl w:ilvl="0">
      <w:lvlJc w:val="left"/>
      <w:lvlText w:val="(%1)"/>
      <w:numFmt w:val="lowerLetter"/>
      <w:start w:val="1"/>
    </w:lvl>
  </w:abstractNum>
  <w:abstractNum w:abstractNumId="197">
    <w:nsid w:val="4B697C7A"/>
    <w:multiLevelType w:val="hybridMultilevel"/>
    <w:lvl w:ilvl="0">
      <w:lvlJc w:val="left"/>
      <w:lvlText w:val="(%1)"/>
      <w:numFmt w:val="lowerLetter"/>
      <w:start w:val="2"/>
    </w:lvl>
  </w:abstractNum>
  <w:abstractNum w:abstractNumId="198">
    <w:nsid w:val="51A27AA6"/>
    <w:multiLevelType w:val="hybridMultilevel"/>
    <w:lvl w:ilvl="0">
      <w:lvlJc w:val="left"/>
      <w:lvlText w:val="%1"/>
      <w:numFmt w:val="upperLetter"/>
      <w:start w:val="1"/>
    </w:lvl>
    <w:lvl w:ilvl="1">
      <w:lvlJc w:val="left"/>
      <w:lvlText w:val="(%2)"/>
      <w:numFmt w:val="lowerLetter"/>
      <w:start w:val="1"/>
    </w:lvl>
  </w:abstractNum>
  <w:abstractNum w:abstractNumId="199">
    <w:nsid w:val="613183F2"/>
    <w:multiLevelType w:val="hybridMultilevel"/>
    <w:lvl w:ilvl="0">
      <w:lvlJc w:val="left"/>
      <w:lvlText w:val="(%1)"/>
      <w:numFmt w:val="upperLetter"/>
      <w:start w:val="1"/>
    </w:lvl>
    <w:lvl w:ilvl="1">
      <w:lvlJc w:val="left"/>
      <w:lvlText w:val="(%2)"/>
      <w:numFmt w:val="lowerLetter"/>
      <w:start w:val="4"/>
    </w:lvl>
  </w:abstractNum>
  <w:abstractNum w:abstractNumId="200">
    <w:nsid w:val="634102B4"/>
    <w:multiLevelType w:val="hybridMultilevel"/>
    <w:lvl w:ilvl="0">
      <w:lvlJc w:val="left"/>
      <w:lvlText w:val="(%1)"/>
      <w:numFmt w:val="lowerLetter"/>
      <w:start w:val="1"/>
    </w:lvl>
  </w:abstractNum>
  <w:abstractNum w:abstractNumId="201">
    <w:nsid w:val="65BF9DA8"/>
    <w:multiLevelType w:val="hybridMultilevel"/>
    <w:lvl w:ilvl="0">
      <w:lvlJc w:val="left"/>
      <w:lvlText w:val="(%1)"/>
      <w:numFmt w:val="lowerLetter"/>
      <w:start w:val="1"/>
    </w:lvl>
  </w:abstractNum>
  <w:abstractNum w:abstractNumId="202">
    <w:nsid w:val="21A2ECCA"/>
    <w:multiLevelType w:val="hybridMultilevel"/>
    <w:lvl w:ilvl="0">
      <w:lvlJc w:val="left"/>
      <w:lvlText w:val="(%1)"/>
      <w:numFmt w:val="lowerLetter"/>
      <w:start w:val="4"/>
    </w:lvl>
  </w:abstractNum>
  <w:abstractNum w:abstractNumId="203">
    <w:nsid w:val="4D5C4899"/>
    <w:multiLevelType w:val="hybridMultilevel"/>
    <w:lvl w:ilvl="0">
      <w:lvlJc w:val="left"/>
      <w:lvlText w:val="(%1)"/>
      <w:numFmt w:val="lowerLetter"/>
      <w:start w:val="1"/>
    </w:lvl>
  </w:abstractNum>
  <w:abstractNum w:abstractNumId="204">
    <w:nsid w:val="3C3B72B2"/>
    <w:multiLevelType w:val="hybridMultilevel"/>
    <w:lvl w:ilvl="0">
      <w:lvlJc w:val="left"/>
      <w:lvlText w:val="(%1)"/>
      <w:numFmt w:val="lowerLetter"/>
      <w:start w:val="1"/>
    </w:lvl>
  </w:abstractNum>
  <w:abstractNum w:abstractNumId="205">
    <w:nsid w:val="155EC4C2"/>
    <w:multiLevelType w:val="hybridMultilevel"/>
    <w:lvl w:ilvl="0">
      <w:lvlJc w:val="left"/>
      <w:lvlText w:val="(%1)"/>
      <w:numFmt w:val="lowerLetter"/>
      <w:start w:val="1"/>
    </w:lvl>
  </w:abstractNum>
  <w:abstractNum w:abstractNumId="206">
    <w:nsid w:val="65D2A137"/>
    <w:multiLevelType w:val="hybridMultilevel"/>
    <w:lvl w:ilvl="0">
      <w:lvlJc w:val="left"/>
      <w:lvlText w:val="(%1)"/>
      <w:numFmt w:val="lowerLetter"/>
      <w:start w:val="4"/>
    </w:lvl>
  </w:abstractNum>
  <w:abstractNum w:abstractNumId="207">
    <w:nsid w:val="6EBB1F2A"/>
    <w:multiLevelType w:val="hybridMultilevel"/>
    <w:lvl w:ilvl="0">
      <w:lvlJc w:val="left"/>
      <w:lvlText w:val="(%1)"/>
      <w:numFmt w:val="lowerLetter"/>
      <w:start w:val="1"/>
    </w:lvl>
  </w:abstractNum>
  <w:abstractNum w:abstractNumId="208">
    <w:nsid w:val="6FBF29CB"/>
    <w:multiLevelType w:val="hybridMultilevel"/>
    <w:lvl w:ilvl="0">
      <w:lvlJc w:val="left"/>
      <w:lvlText w:val="(%1)"/>
      <w:numFmt w:val="lowerLetter"/>
      <w:start w:val="1"/>
    </w:lvl>
  </w:abstractNum>
  <w:abstractNum w:abstractNumId="209">
    <w:nsid w:val="550B8808"/>
    <w:multiLevelType w:val="hybridMultilevel"/>
    <w:lvl w:ilvl="0">
      <w:lvlJc w:val="left"/>
      <w:lvlText w:val="(%1)"/>
      <w:numFmt w:val="lowerLetter"/>
      <w:start w:val="2"/>
    </w:lvl>
  </w:abstractNum>
  <w:abstractNum w:abstractNumId="210">
    <w:nsid w:val="34CC3ACF"/>
    <w:multiLevelType w:val="hybridMultilevel"/>
    <w:lvl w:ilvl="0">
      <w:lvlJc w:val="left"/>
      <w:lvlText w:val="(%1)"/>
      <w:numFmt w:val="lowerLetter"/>
      <w:start w:val="1"/>
    </w:lvl>
  </w:abstractNum>
  <w:abstractNum w:abstractNumId="211">
    <w:nsid w:val="4E556261"/>
    <w:multiLevelType w:val="hybridMultilevel"/>
    <w:lvl w:ilvl="0">
      <w:lvlJc w:val="left"/>
      <w:lvlText w:val="(%1)"/>
      <w:numFmt w:val="lowerLetter"/>
      <w:start w:val="1"/>
    </w:lvl>
    <w:lvl w:ilvl="1">
      <w:lvlJc w:val="left"/>
      <w:lvlText w:val="(%2)"/>
      <w:numFmt w:val="lowerRoman"/>
      <w:start w:val="1"/>
    </w:lvl>
  </w:abstractNum>
  <w:abstractNum w:abstractNumId="212">
    <w:nsid w:val="4C672FC9"/>
    <w:multiLevelType w:val="hybridMultilevel"/>
    <w:lvl w:ilvl="0">
      <w:lvlJc w:val="left"/>
      <w:lvlText w:val="(%1)"/>
      <w:numFmt w:val="lowerRoman"/>
      <w:start w:val="1"/>
    </w:lvl>
  </w:abstractNum>
  <w:abstractNum w:abstractNumId="213">
    <w:nsid w:val="52A311C3"/>
    <w:multiLevelType w:val="hybridMultilevel"/>
    <w:lvl w:ilvl="0">
      <w:lvlJc w:val="left"/>
      <w:lvlText w:val="(%1)"/>
      <w:numFmt w:val="lowerLetter"/>
      <w:start w:val="2"/>
    </w:lvl>
  </w:abstractNum>
  <w:abstractNum w:abstractNumId="214">
    <w:nsid w:val="44EF6B80"/>
    <w:multiLevelType w:val="hybridMultilevel"/>
    <w:lvl w:ilvl="0">
      <w:lvlJc w:val="left"/>
      <w:lvlText w:val="(%1)"/>
      <w:numFmt w:val="lowerLetter"/>
      <w:start w:val="11"/>
    </w:lvl>
  </w:abstractNum>
  <w:abstractNum w:abstractNumId="215">
    <w:nsid w:val="12FCDE5E"/>
    <w:multiLevelType w:val="hybridMultilevel"/>
    <w:lvl w:ilvl="0">
      <w:lvlJc w:val="left"/>
      <w:lvlText w:val="(%1)"/>
      <w:numFmt w:val="lowerLetter"/>
      <w:start w:val="14"/>
    </w:lvl>
  </w:abstractNum>
  <w:abstractNum w:abstractNumId="216">
    <w:nsid w:val="4A1D606E"/>
    <w:multiLevelType w:val="hybridMultilevel"/>
    <w:lvl w:ilvl="0">
      <w:lvlJc w:val="left"/>
      <w:lvlText w:val="(%1)"/>
      <w:numFmt w:val="lowerLetter"/>
      <w:start w:val="1"/>
    </w:lvl>
    <w:lvl w:ilvl="1">
      <w:lvlJc w:val="left"/>
      <w:lvlText w:val="(%2)"/>
      <w:numFmt w:val="lowerLetter"/>
      <w:start w:val="9"/>
    </w:lvl>
  </w:abstractNum>
  <w:abstractNum w:abstractNumId="217">
    <w:nsid w:val="4382503"/>
    <w:multiLevelType w:val="hybridMultilevel"/>
    <w:lvl w:ilvl="0">
      <w:lvlJc w:val="left"/>
      <w:lvlText w:val="(%1)"/>
      <w:numFmt w:val="lowerRoman"/>
      <w:start w:val="2"/>
    </w:lvl>
  </w:abstractNum>
  <w:abstractNum w:abstractNumId="218">
    <w:nsid w:val="59B76E28"/>
    <w:multiLevelType w:val="hybridMultilevel"/>
    <w:lvl w:ilvl="0">
      <w:lvlJc w:val="left"/>
      <w:lvlText w:val="(%1)"/>
      <w:numFmt w:val="lowerLetter"/>
      <w:start w:val="14"/>
    </w:lvl>
  </w:abstractNum>
  <w:abstractNum w:abstractNumId="219">
    <w:nsid w:val="4252C2DA"/>
    <w:multiLevelType w:val="hybridMultilevel"/>
    <w:lvl w:ilvl="0">
      <w:lvlJc w:val="left"/>
      <w:lvlText w:val="(%1)"/>
      <w:numFmt w:val="lowerLetter"/>
      <w:start w:val="1"/>
    </w:lvl>
  </w:abstractNum>
  <w:abstractNum w:abstractNumId="220">
    <w:nsid w:val="6A92EF4C"/>
    <w:multiLevelType w:val="hybridMultilevel"/>
    <w:lvl w:ilvl="0">
      <w:lvlJc w:val="left"/>
      <w:lvlText w:val="(%1)"/>
      <w:numFmt w:val="lowerLetter"/>
      <w:start w:val="4"/>
    </w:lvl>
  </w:abstractNum>
  <w:abstractNum w:abstractNumId="221">
    <w:nsid w:val="41ED20D7"/>
    <w:multiLevelType w:val="hybridMultilevel"/>
    <w:lvl w:ilvl="0">
      <w:lvlJc w:val="left"/>
      <w:lvlText w:val="(%1)"/>
      <w:numFmt w:val="lowerLetter"/>
      <w:start w:val="9"/>
    </w:lvl>
  </w:abstractNum>
  <w:abstractNum w:abstractNumId="222">
    <w:nsid w:val="E6B3F6A"/>
    <w:multiLevelType w:val="hybridMultilevel"/>
    <w:lvl w:ilvl="0">
      <w:lvlJc w:val="left"/>
      <w:lvlText w:val="(%1)"/>
      <w:numFmt w:val="lowerLetter"/>
      <w:start w:val="14"/>
    </w:lvl>
  </w:abstractNum>
  <w:abstractNum w:abstractNumId="223">
    <w:nsid w:val="3EB21819"/>
    <w:multiLevelType w:val="hybridMultilevel"/>
    <w:lvl w:ilvl="0">
      <w:lvlJc w:val="left"/>
      <w:lvlText w:val="(%1)"/>
      <w:numFmt w:val="lowerLetter"/>
      <w:start w:val="1"/>
    </w:lvl>
  </w:abstractNum>
  <w:abstractNum w:abstractNumId="224">
    <w:nsid w:val="41531DED"/>
    <w:multiLevelType w:val="hybridMultilevel"/>
    <w:lvl w:ilvl="0">
      <w:lvlJc w:val="left"/>
      <w:lvlText w:val="(%1)"/>
      <w:numFmt w:val="lowerLetter"/>
      <w:start w:val="5"/>
    </w:lvl>
  </w:abstractNum>
  <w:abstractNum w:abstractNumId="225">
    <w:nsid w:val="6353CD2"/>
    <w:multiLevelType w:val="hybridMultilevel"/>
    <w:lvl w:ilvl="0">
      <w:lvlJc w:val="left"/>
      <w:lvlText w:val="(%1)"/>
      <w:numFmt w:val="lowerLetter"/>
      <w:start w:val="1"/>
    </w:lvl>
  </w:abstractNum>
  <w:abstractNum w:abstractNumId="226">
    <w:nsid w:val="683CAAD3"/>
    <w:multiLevelType w:val="hybridMultilevel"/>
    <w:lvl w:ilvl="0">
      <w:lvlJc w:val="left"/>
      <w:lvlText w:val="(%1)"/>
      <w:numFmt w:val="lowerLetter"/>
      <w:start w:val="8"/>
    </w:lvl>
  </w:abstractNum>
  <w:abstractNum w:abstractNumId="227">
    <w:nsid w:val="313C7C99"/>
    <w:multiLevelType w:val="hybridMultilevel"/>
    <w:lvl w:ilvl="0">
      <w:lvlJc w:val="left"/>
      <w:lvlText w:val="(%1)"/>
      <w:numFmt w:val="lowerLetter"/>
      <w:start w:val="1"/>
    </w:lvl>
  </w:abstractNum>
  <w:abstractNum w:abstractNumId="228">
    <w:nsid w:val="519EB94C"/>
    <w:multiLevelType w:val="hybridMultilevel"/>
    <w:lvl w:ilvl="0">
      <w:lvlJc w:val="left"/>
      <w:lvlText w:val="(%1)"/>
      <w:numFmt w:val="lowerLetter"/>
      <w:start w:val="1"/>
    </w:lvl>
  </w:abstractNum>
  <w:abstractNum w:abstractNumId="229">
    <w:nsid w:val="39DF2579"/>
    <w:multiLevelType w:val="hybridMultilevel"/>
    <w:lvl w:ilvl="0">
      <w:lvlJc w:val="left"/>
      <w:lvlText w:val="%1"/>
      <w:numFmt w:val="lowerLetter"/>
      <w:start w:val="1"/>
    </w:lvl>
    <w:lvl w:ilvl="1">
      <w:lvlJc w:val="left"/>
      <w:lvlText w:val="(%2)"/>
      <w:numFmt w:val="lowerLetter"/>
      <w:start w:val="1"/>
    </w:lvl>
  </w:abstractNum>
  <w:abstractNum w:abstractNumId="230">
    <w:nsid w:val="126E008B"/>
    <w:multiLevelType w:val="hybridMultilevel"/>
    <w:lvl w:ilvl="0">
      <w:lvlJc w:val="left"/>
      <w:lvlText w:val="(%1)"/>
      <w:numFmt w:val="lowerLetter"/>
      <w:start w:val="26"/>
    </w:lvl>
    <w:lvl w:ilvl="1">
      <w:lvlJc w:val="left"/>
      <w:lvlText w:val="(%2)"/>
      <w:numFmt w:val="lowerLetter"/>
      <w:start w:val="2"/>
    </w:lvl>
  </w:abstractNum>
  <w:abstractNum w:abstractNumId="231">
    <w:nsid w:val="34DFBC00"/>
    <w:multiLevelType w:val="hybridMultilevel"/>
    <w:lvl w:ilvl="0">
      <w:lvlJc w:val="left"/>
      <w:lvlText w:val="(%1)"/>
      <w:numFmt w:val="lowerLetter"/>
      <w:start w:val="3"/>
    </w:lvl>
  </w:abstractNum>
  <w:abstractNum w:abstractNumId="232">
    <w:nsid w:val="1F9EC322"/>
    <w:multiLevelType w:val="hybridMultilevel"/>
    <w:lvl w:ilvl="0">
      <w:lvlJc w:val="left"/>
      <w:lvlText w:val="(%1)"/>
      <w:numFmt w:val="lowerLetter"/>
      <w:start w:val="1"/>
    </w:lvl>
  </w:abstractNum>
  <w:abstractNum w:abstractNumId="233">
    <w:nsid w:val="3410ED56"/>
    <w:multiLevelType w:val="hybridMultilevel"/>
    <w:lvl w:ilvl="0">
      <w:lvlJc w:val="left"/>
      <w:lvlText w:val="(%1)"/>
      <w:numFmt w:val="lowerLetter"/>
      <w:start w:val="3"/>
    </w:lvl>
  </w:abstractNum>
  <w:abstractNum w:abstractNumId="234">
    <w:nsid w:val="23C049A"/>
    <w:multiLevelType w:val="hybridMultilevel"/>
    <w:lvl w:ilvl="0">
      <w:lvlJc w:val="left"/>
      <w:lvlText w:val="(%1)"/>
      <w:numFmt w:val="lowerLetter"/>
      <w:start w:val="1"/>
    </w:lvl>
  </w:abstractNum>
  <w:abstractNum w:abstractNumId="235">
    <w:nsid w:val="5BDA35D4"/>
    <w:multiLevelType w:val="hybridMultilevel"/>
    <w:lvl w:ilvl="0">
      <w:lvlJc w:val="left"/>
      <w:lvlText w:val="(%1)"/>
      <w:numFmt w:val="lowerLetter"/>
      <w:start w:val="1"/>
    </w:lvl>
  </w:abstractNum>
  <w:abstractNum w:abstractNumId="236">
    <w:nsid w:val="496FB218"/>
    <w:multiLevelType w:val="hybridMultilevel"/>
    <w:lvl w:ilvl="0">
      <w:lvlJc w:val="left"/>
      <w:lvlText w:val="(%1)"/>
      <w:numFmt w:val="lowerLetter"/>
      <w:start w:val="4"/>
    </w:lvl>
  </w:abstractNum>
  <w:abstractNum w:abstractNumId="237">
    <w:nsid w:val="680EA5D1"/>
    <w:multiLevelType w:val="hybridMultilevel"/>
    <w:lvl w:ilvl="0">
      <w:lvlJc w:val="left"/>
      <w:lvlText w:val="(%1)"/>
      <w:numFmt w:val="lowerLetter"/>
      <w:start w:val="9"/>
    </w:lvl>
  </w:abstractNum>
  <w:abstractNum w:abstractNumId="238">
    <w:nsid w:val="4A9554FE"/>
    <w:multiLevelType w:val="hybridMultilevel"/>
    <w:lvl w:ilvl="0">
      <w:lvlJc w:val="left"/>
      <w:lvlText w:val="(%1)"/>
      <w:numFmt w:val="lowerLetter"/>
      <w:start w:val="12"/>
    </w:lvl>
  </w:abstractNum>
  <w:abstractNum w:abstractNumId="239">
    <w:nsid w:val="392EDBE4"/>
    <w:multiLevelType w:val="hybridMultilevel"/>
    <w:lvl w:ilvl="0">
      <w:lvlJc w:val="left"/>
      <w:lvlText w:val="(%1)"/>
      <w:numFmt w:val="lowerLetter"/>
      <w:start w:val="1"/>
    </w:lvl>
  </w:abstractNum>
  <w:abstractNum w:abstractNumId="240">
    <w:nsid w:val="3D1A2DD9"/>
    <w:multiLevelType w:val="hybridMultilevel"/>
    <w:lvl w:ilvl="0">
      <w:lvlJc w:val="left"/>
      <w:lvlText w:val="(%1)"/>
      <w:numFmt w:val="lowerLetter"/>
      <w:start w:val="3"/>
    </w:lvl>
  </w:abstractNum>
  <w:abstractNum w:abstractNumId="241">
    <w:nsid w:val="7F618FCD"/>
    <w:multiLevelType w:val="hybridMultilevel"/>
    <w:lvl w:ilvl="0">
      <w:lvlJc w:val="left"/>
      <w:lvlText w:val="(%1)"/>
      <w:numFmt w:val="lowerLetter"/>
      <w:start w:val="1"/>
    </w:lvl>
  </w:abstractNum>
  <w:abstractNum w:abstractNumId="242">
    <w:nsid w:val="7843E45"/>
    <w:multiLevelType w:val="hybridMultilevel"/>
    <w:lvl w:ilvl="0">
      <w:lvlJc w:val="left"/>
      <w:lvlText w:val="(%1)"/>
      <w:numFmt w:val="lowerLetter"/>
      <w:start w:val="2"/>
    </w:lvl>
  </w:abstractNum>
  <w:abstractNum w:abstractNumId="243">
    <w:nsid w:val="9815DA3"/>
    <w:multiLevelType w:val="hybridMultilevel"/>
    <w:lvl w:ilvl="0">
      <w:lvlJc w:val="left"/>
      <w:lvlText w:val="(%1)"/>
      <w:numFmt w:val="lowerLetter"/>
      <w:start w:val="1"/>
    </w:lvl>
    <w:lvl w:ilvl="1">
      <w:lvlJc w:val="left"/>
      <w:lvlText w:val="(%2)"/>
      <w:numFmt w:val="lowerRoman"/>
      <w:start w:val="1"/>
    </w:lvl>
  </w:abstractNum>
  <w:abstractNum w:abstractNumId="244">
    <w:nsid w:val="5204A191"/>
    <w:multiLevelType w:val="hybridMultilevel"/>
    <w:lvl w:ilvl="0">
      <w:lvlJc w:val="left"/>
      <w:lvlText w:val="%1"/>
      <w:numFmt w:val="lowerLetter"/>
      <w:start w:val="1"/>
    </w:lvl>
    <w:lvl w:ilvl="1">
      <w:lvlJc w:val="left"/>
      <w:lvlText w:val="(%2)"/>
      <w:numFmt w:val="lowerLetter"/>
      <w:start w:val="61"/>
    </w:lvl>
  </w:abstractNum>
  <w:abstractNum w:abstractNumId="245">
    <w:nsid w:val="4C73A9C6"/>
    <w:multiLevelType w:val="hybridMultilevel"/>
    <w:lvl w:ilvl="0">
      <w:lvlJc w:val="left"/>
      <w:lvlText w:val="(%1)"/>
      <w:numFmt w:val="lowerLetter"/>
      <w:start w:val="2"/>
    </w:lvl>
    <w:lvl w:ilvl="1">
      <w:lvlJc w:val="left"/>
      <w:lvlText w:val="%2"/>
      <w:numFmt w:val="lowerLetter"/>
      <w:start w:val="1"/>
    </w:lvl>
  </w:abstractNum>
  <w:abstractNum w:abstractNumId="246">
    <w:nsid w:val="1C7E3C01"/>
    <w:multiLevelType w:val="hybridMultilevel"/>
    <w:lvl w:ilvl="0">
      <w:lvlJc w:val="left"/>
      <w:lvlText w:val="(%1)"/>
      <w:numFmt w:val="lowerLetter"/>
      <w:start w:val="1"/>
    </w:lvl>
  </w:abstractNum>
  <w:abstractNum w:abstractNumId="247">
    <w:nsid w:val="1C2201FF"/>
    <w:multiLevelType w:val="hybridMultilevel"/>
    <w:lvl w:ilvl="0">
      <w:lvlJc w:val="left"/>
      <w:lvlText w:val="(%1)"/>
      <w:numFmt w:val="lowerLetter"/>
      <w:start w:val="4"/>
    </w:lvl>
  </w:abstractNum>
  <w:abstractNum w:abstractNumId="248">
    <w:nsid w:val="50ABCEC9"/>
    <w:multiLevelType w:val="hybridMultilevel"/>
    <w:lvl w:ilvl="0">
      <w:lvlJc w:val="left"/>
      <w:lvlText w:val="(%1)"/>
      <w:numFmt w:val="lowerLetter"/>
      <w:start w:val="1"/>
    </w:lvl>
  </w:abstractNum>
  <w:abstractNum w:abstractNumId="249">
    <w:nsid w:val="7635AA2A"/>
    <w:multiLevelType w:val="hybridMultilevel"/>
    <w:lvl w:ilvl="0">
      <w:lvlJc w:val="left"/>
      <w:lvlText w:val="(%1)"/>
      <w:numFmt w:val="lowerLetter"/>
      <w:start w:val="1"/>
    </w:lvl>
  </w:abstractNum>
  <w:abstractNum w:abstractNumId="250">
    <w:nsid w:val="5E74C4D9"/>
    <w:multiLevelType w:val="hybridMultilevel"/>
    <w:lvl w:ilvl="0">
      <w:lvlJc w:val="left"/>
      <w:lvlText w:val="(%1)"/>
      <w:numFmt w:val="lowerLetter"/>
      <w:start w:val="2"/>
    </w:lvl>
  </w:abstractNum>
  <w:abstractNum w:abstractNumId="251">
    <w:nsid w:val="3B3EBE15"/>
    <w:multiLevelType w:val="hybridMultilevel"/>
    <w:lvl w:ilvl="0">
      <w:lvlJc w:val="left"/>
      <w:lvlText w:val="(%1)"/>
      <w:numFmt w:val="lowerLetter"/>
      <w:start w:val="1"/>
    </w:lvl>
  </w:abstractNum>
  <w:abstractNum w:abstractNumId="252">
    <w:nsid w:val="3822CB01"/>
    <w:multiLevelType w:val="hybridMultilevel"/>
    <w:lvl w:ilvl="0">
      <w:lvlJc w:val="left"/>
      <w:lvlText w:val="%1"/>
      <w:numFmt w:val="lowerLetter"/>
      <w:start w:val="1"/>
    </w:lvl>
    <w:lvl w:ilvl="1">
      <w:lvlJc w:val="left"/>
      <w:lvlText w:val="(%2)"/>
      <w:numFmt w:val="lowerRoman"/>
      <w:start w:val="1"/>
    </w:lvl>
  </w:abstractNum>
  <w:abstractNum w:abstractNumId="253">
    <w:nsid w:val="6CE00443"/>
    <w:multiLevelType w:val="hybridMultilevel"/>
    <w:lvl w:ilvl="0">
      <w:lvlJc w:val="left"/>
      <w:lvlText w:val="(%1)"/>
      <w:numFmt w:val="lowerLetter"/>
      <w:start w:val="2"/>
    </w:lvl>
    <w:lvl w:ilvl="1">
      <w:lvlJc w:val="left"/>
      <w:lvlText w:val="%2"/>
      <w:numFmt w:val="lowerRoman"/>
      <w:start w:val="1"/>
    </w:lvl>
  </w:abstractNum>
  <w:abstractNum w:abstractNumId="254">
    <w:nsid w:val="79F0D62F"/>
    <w:multiLevelType w:val="hybridMultilevel"/>
    <w:lvl w:ilvl="0">
      <w:lvlJc w:val="left"/>
      <w:lvlText w:val="(%1)"/>
      <w:numFmt w:val="lowerLetter"/>
      <w:start w:val="1"/>
    </w:lvl>
  </w:abstractNum>
  <w:abstractNum w:abstractNumId="255">
    <w:nsid w:val="7975E8EE"/>
    <w:multiLevelType w:val="hybridMultilevel"/>
    <w:lvl w:ilvl="0">
      <w:lvlJc w:val="left"/>
      <w:lvlText w:val="(%1)"/>
      <w:numFmt w:val="lowerLetter"/>
      <w:start w:val="6"/>
    </w:lvl>
  </w:abstractNum>
  <w:abstractNum w:abstractNumId="256">
    <w:nsid w:val="73154115"/>
    <w:multiLevelType w:val="hybridMultilevel"/>
    <w:lvl w:ilvl="0">
      <w:lvlJc w:val="left"/>
      <w:lvlText w:val="(%1)"/>
      <w:numFmt w:val="lowerLetter"/>
      <w:start w:val="1"/>
    </w:lvl>
  </w:abstractNum>
  <w:abstractNum w:abstractNumId="257">
    <w:nsid w:val="622D8102"/>
    <w:multiLevelType w:val="hybridMultilevel"/>
    <w:lvl w:ilvl="0">
      <w:lvlJc w:val="left"/>
      <w:lvlText w:val="(%1)"/>
      <w:numFmt w:val="lowerRoman"/>
      <w:start w:val="1"/>
    </w:lvl>
  </w:abstractNum>
  <w:abstractNum w:abstractNumId="258">
    <w:nsid w:val="2AB26587"/>
    <w:multiLevelType w:val="hybridMultilevel"/>
    <w:lvl w:ilvl="0">
      <w:lvlJc w:val="left"/>
      <w:lvlText w:val="(%1)"/>
      <w:numFmt w:val="lowerLetter"/>
      <w:start w:val="2"/>
    </w:lvl>
  </w:abstractNum>
  <w:abstractNum w:abstractNumId="259">
    <w:nsid w:val="44B3FA61"/>
    <w:multiLevelType w:val="hybridMultilevel"/>
    <w:lvl w:ilvl="0">
      <w:lvlJc w:val="left"/>
      <w:lvlText w:val="(%1)"/>
      <w:numFmt w:val="lowerLetter"/>
      <w:start w:val="9"/>
    </w:lvl>
    <w:lvl w:ilvl="1">
      <w:lvlJc w:val="left"/>
      <w:lvlText w:val="%2"/>
      <w:numFmt w:val="lowerLetter"/>
      <w:start w:val="1"/>
    </w:lvl>
  </w:abstractNum>
  <w:abstractNum w:abstractNumId="260">
    <w:nsid w:val="1C0CA67C"/>
    <w:multiLevelType w:val="hybridMultilevel"/>
    <w:lvl w:ilvl="0">
      <w:lvlJc w:val="left"/>
      <w:lvlText w:val="(%1)"/>
      <w:numFmt w:val="lowerLetter"/>
      <w:start w:val="9"/>
    </w:lvl>
    <w:lvl w:ilvl="1">
      <w:lvlJc w:val="left"/>
      <w:lvlText w:val="(%2)"/>
      <w:numFmt w:val="lowerLetter"/>
      <w:start w:val="3"/>
    </w:lvl>
  </w:abstractNum>
  <w:abstractNum w:abstractNumId="261">
    <w:nsid w:val="3D206613"/>
    <w:multiLevelType w:val="hybridMultilevel"/>
    <w:lvl w:ilvl="0">
      <w:lvlJc w:val="left"/>
      <w:lvlText w:val="(%1)"/>
      <w:numFmt w:val="lowerLetter"/>
      <w:start w:val="4"/>
    </w:lvl>
  </w:abstractNum>
  <w:abstractNum w:abstractNumId="262">
    <w:nsid w:val="7993B662"/>
    <w:multiLevelType w:val="hybridMultilevel"/>
    <w:lvl w:ilvl="0">
      <w:lvlJc w:val="left"/>
      <w:lvlText w:val="(%1)"/>
      <w:numFmt w:val="lowerLetter"/>
      <w:start w:val="1"/>
    </w:lvl>
  </w:abstractNum>
  <w:abstractNum w:abstractNumId="263">
    <w:nsid w:val="3BAB699E"/>
    <w:multiLevelType w:val="hybridMultilevel"/>
    <w:lvl w:ilvl="0">
      <w:lvlJc w:val="left"/>
      <w:lvlText w:val="(%1)"/>
      <w:numFmt w:val="lowerLetter"/>
      <w:start w:val="3"/>
    </w:lvl>
  </w:abstractNum>
  <w:abstractNum w:abstractNumId="264">
    <w:nsid w:val="71315369"/>
    <w:multiLevelType w:val="hybridMultilevel"/>
    <w:lvl w:ilvl="0">
      <w:lvlJc w:val="left"/>
      <w:lvlText w:val="(%1)"/>
      <w:numFmt w:val="lowerLetter"/>
      <w:start w:val="5"/>
    </w:lvl>
  </w:abstractNum>
  <w:abstractNum w:abstractNumId="265">
    <w:nsid w:val="7BCFBAFC"/>
    <w:multiLevelType w:val="hybridMultilevel"/>
    <w:lvl w:ilvl="0">
      <w:lvlJc w:val="left"/>
      <w:lvlText w:val="(%1)"/>
      <w:numFmt w:val="lowerLetter"/>
      <w:start w:val="1"/>
    </w:lvl>
    <w:lvl w:ilvl="1">
      <w:lvlJc w:val="left"/>
      <w:lvlText w:val="(%2)"/>
      <w:numFmt w:val="lowerLetter"/>
      <w:start w:val="9"/>
    </w:lvl>
  </w:abstractNum>
  <w:abstractNum w:abstractNumId="266">
    <w:nsid w:val="17859F72"/>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67">
    <w:nsid w:val="3AA10581"/>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268">
    <w:nsid w:val="63DE60CD"/>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269">
    <w:nsid w:val="621AF471"/>
    <w:multiLevelType w:val="hybridMultilevel"/>
    <w:lvl w:ilvl="0">
      <w:lvlJc w:val="left"/>
      <w:lvlText w:val="(%1)"/>
      <w:numFmt w:val="upperLetter"/>
      <w:start w:val="2"/>
    </w:lvl>
  </w:abstractNum>
  <w:abstractNum w:abstractNumId="270">
    <w:nsid w:val="73CFE165"/>
    <w:multiLevelType w:val="hybridMultilevel"/>
    <w:lvl w:ilvl="0">
      <w:lvlJc w:val="left"/>
      <w:lvlText w:val="(%1)"/>
      <w:numFmt w:val="lowerRoman"/>
      <w:start w:val="4"/>
    </w:lvl>
  </w:abstractNum>
  <w:abstractNum w:abstractNumId="271">
    <w:nsid w:val="20F88EA6"/>
    <w:multiLevelType w:val="hybridMultilevel"/>
    <w:lvl w:ilvl="0">
      <w:lvlJc w:val="left"/>
      <w:lvlText w:val="(%1)"/>
      <w:numFmt w:val="lowerLetter"/>
      <w:start w:val="3"/>
    </w:lvl>
  </w:abstractNum>
  <w:abstractNum w:abstractNumId="272">
    <w:nsid w:val="617C843E"/>
    <w:multiLevelType w:val="hybridMultilevel"/>
    <w:lvl w:ilvl="0">
      <w:lvlJc w:val="left"/>
      <w:lvlText w:val="(%1)"/>
      <w:numFmt w:val="lowerLetter"/>
      <w:start w:val="4"/>
    </w:lvl>
  </w:abstractNum>
  <w:abstractNum w:abstractNumId="273">
    <w:nsid w:val="7B541FAB"/>
    <w:multiLevelType w:val="hybridMultilevel"/>
    <w:lvl w:ilvl="0">
      <w:lvlJc w:val="left"/>
      <w:lvlText w:val="(%1)"/>
      <w:numFmt w:val="lowerLetter"/>
      <w:start w:val="5"/>
    </w:lvl>
  </w:abstractNum>
  <w:abstractNum w:abstractNumId="274">
    <w:nsid w:val="2A79EC49"/>
    <w:multiLevelType w:val="hybridMultilevel"/>
    <w:lvl w:ilvl="0">
      <w:lvlJc w:val="left"/>
      <w:lvlText w:val="(%1)"/>
      <w:numFmt w:val="lowerRoman"/>
      <w:start w:val="10"/>
    </w:lvl>
  </w:abstractNum>
  <w:abstractNum w:abstractNumId="275">
    <w:nsid w:val="338125CF"/>
    <w:multiLevelType w:val="hybridMultilevel"/>
    <w:lvl w:ilvl="0">
      <w:lvlJc w:val="left"/>
      <w:lvlText w:val="(%1)"/>
      <w:numFmt w:val="lowerLetter"/>
      <w:start w:val="1"/>
    </w:lvl>
  </w:abstractNum>
  <w:abstractNum w:abstractNumId="276">
    <w:nsid w:val="47C7C971"/>
    <w:multiLevelType w:val="hybridMultilevel"/>
    <w:lvl w:ilvl="0">
      <w:lvlJc w:val="left"/>
      <w:lvlText w:val="(%1)"/>
      <w:numFmt w:val="lowerLetter"/>
      <w:start w:val="1"/>
    </w:lvl>
  </w:abstractNum>
  <w:abstractNum w:abstractNumId="277">
    <w:nsid w:val="46F8284B"/>
    <w:multiLevelType w:val="hybridMultilevel"/>
    <w:lvl w:ilvl="0">
      <w:lvlJc w:val="left"/>
      <w:lvlText w:val="(%1)"/>
      <w:numFmt w:val="lowerLetter"/>
      <w:start w:val="1"/>
    </w:lvl>
  </w:abstractNum>
  <w:abstractNum w:abstractNumId="278">
    <w:nsid w:val="4FA327CE"/>
    <w:multiLevelType w:val="hybridMultilevel"/>
    <w:lvl w:ilvl="0">
      <w:lvlJc w:val="left"/>
      <w:lvlText w:val="(%1)"/>
      <w:numFmt w:val="lowerLetter"/>
      <w:start w:val="2"/>
    </w:lvl>
    <w:lvl w:ilvl="1">
      <w:lvlJc w:val="left"/>
      <w:lvlText w:val="(%2)"/>
      <w:numFmt w:val="lowerRoman"/>
      <w:start w:val="1"/>
    </w:lvl>
  </w:abstractNum>
  <w:abstractNum w:abstractNumId="279">
    <w:nsid w:val="1873983A"/>
    <w:multiLevelType w:val="hybridMultilevel"/>
    <w:lvl w:ilvl="0">
      <w:lvlJc w:val="left"/>
      <w:lvlText w:val="(%1)"/>
      <w:numFmt w:val="lowerLetter"/>
      <w:start w:val="1"/>
    </w:lvl>
    <w:lvl w:ilvl="1">
      <w:lvlJc w:val="left"/>
      <w:lvlText w:val="(%2)"/>
      <w:numFmt w:val="lowerRoman"/>
      <w:start w:val="1"/>
    </w:lvl>
  </w:abstractNum>
  <w:abstractNum w:abstractNumId="280">
    <w:nsid w:val="3D2DD275"/>
    <w:multiLevelType w:val="hybridMultilevel"/>
    <w:lvl w:ilvl="0">
      <w:lvlJc w:val="left"/>
      <w:lvlText w:val="(%1)"/>
      <w:numFmt w:val="lowerLetter"/>
      <w:start w:val="1"/>
    </w:lvl>
  </w:abstractNum>
  <w:abstractNum w:abstractNumId="281">
    <w:nsid w:val="2E17ECA7"/>
    <w:multiLevelType w:val="hybridMultilevel"/>
    <w:lvl w:ilvl="0">
      <w:lvlJc w:val="left"/>
      <w:lvlText w:val="(%1)"/>
      <w:numFmt w:val="lowerLetter"/>
      <w:start w:val="2"/>
    </w:lvl>
  </w:abstractNum>
  <w:abstractNum w:abstractNumId="282">
    <w:nsid w:val="53B2564F"/>
    <w:multiLevelType w:val="hybridMultilevel"/>
    <w:lvl w:ilvl="0">
      <w:lvlJc w:val="left"/>
      <w:lvlText w:val="(%1)"/>
      <w:numFmt w:val="lowerLetter"/>
      <w:start w:val="1"/>
    </w:lvl>
  </w:abstractNum>
  <w:abstractNum w:abstractNumId="283">
    <w:nsid w:val="75509D76"/>
    <w:multiLevelType w:val="hybridMultilevel"/>
    <w:lvl w:ilvl="0">
      <w:lvlJc w:val="left"/>
      <w:lvlText w:val="%1."/>
      <w:numFmt w:val="decimal"/>
      <w:start w:val="1"/>
    </w:lvl>
  </w:abstractNum>
  <w:abstractNum w:abstractNumId="284">
    <w:nsid w:val="1AF7F0EA"/>
    <w:multiLevelType w:val="hybridMultilevel"/>
    <w:lvl w:ilvl="0">
      <w:lvlJc w:val="left"/>
      <w:lvlText w:val="%1."/>
      <w:numFmt w:val="decimal"/>
      <w:start w:val="2"/>
    </w:lvl>
  </w:abstractNum>
  <w:abstractNum w:abstractNumId="285">
    <w:nsid w:val="4DA32C7E"/>
    <w:multiLevelType w:val="hybridMultilevel"/>
    <w:lvl w:ilvl="0">
      <w:lvlJc w:val="left"/>
      <w:lvlText w:val="%1."/>
      <w:numFmt w:val="decimal"/>
      <w:start w:val="3"/>
    </w:lvl>
  </w:abstractNum>
  <w:abstractNum w:abstractNumId="286">
    <w:nsid w:val="6EC68664"/>
    <w:multiLevelType w:val="hybridMultilevel"/>
    <w:lvl w:ilvl="0">
      <w:lvlJc w:val="left"/>
      <w:lvlText w:val="%1."/>
      <w:numFmt w:val="decimal"/>
      <w:start w:val="4"/>
    </w:lvl>
  </w:abstractNum>
  <w:abstractNum w:abstractNumId="287">
    <w:nsid w:val="E0D31FF"/>
    <w:multiLevelType w:val="hybridMultilevel"/>
    <w:lvl w:ilvl="0">
      <w:lvlJc w:val="left"/>
      <w:lvlText w:val="%1."/>
      <w:numFmt w:val="decimal"/>
      <w:start w:val="5"/>
    </w:lvl>
  </w:abstractNum>
  <w:abstractNum w:abstractNumId="288">
    <w:nsid w:val="2FD0AD81"/>
    <w:multiLevelType w:val="hybridMultilevel"/>
    <w:lvl w:ilvl="0">
      <w:lvlJc w:val="left"/>
      <w:lvlText w:val="%1."/>
      <w:numFmt w:val="decimal"/>
      <w:start w:val="6"/>
    </w:lvl>
  </w:abstractNum>
  <w:abstractNum w:abstractNumId="289">
    <w:nsid w:val="1978EBEB"/>
    <w:multiLevelType w:val="hybridMultilevel"/>
    <w:lvl w:ilvl="0">
      <w:lvlJc w:val="left"/>
      <w:lvlText w:val="%1."/>
      <w:numFmt w:val="decimal"/>
      <w:start w:val="7"/>
    </w:lvl>
  </w:abstractNum>
  <w:abstractNum w:abstractNumId="290">
    <w:nsid w:val="52C12C61"/>
    <w:multiLevelType w:val="hybridMultilevel"/>
    <w:lvl w:ilvl="0">
      <w:lvlJc w:val="left"/>
      <w:lvlText w:val="%1."/>
      <w:numFmt w:val="decimal"/>
      <w:start w:val="8"/>
    </w:lvl>
  </w:abstractNum>
  <w:abstractNum w:abstractNumId="291">
    <w:nsid w:val="4BDD53FD"/>
    <w:multiLevelType w:val="hybridMultilevel"/>
    <w:lvl w:ilvl="0">
      <w:lvlJc w:val="left"/>
      <w:lvlText w:val="%1."/>
      <w:numFmt w:val="decimal"/>
      <w:start w:val="9"/>
    </w:lvl>
  </w:abstractNum>
  <w:abstractNum w:abstractNumId="292">
    <w:nsid w:val="569951FE"/>
    <w:multiLevelType w:val="hybridMultilevel"/>
    <w:lvl w:ilvl="0">
      <w:lvlJc w:val="left"/>
      <w:lvlText w:val="(%1)"/>
      <w:numFmt w:val="lowerLetter"/>
      <w:start w:val="1"/>
    </w:lvl>
  </w:abstractNum>
  <w:abstractNum w:abstractNumId="293">
    <w:nsid w:val="4C54E2C3"/>
    <w:multiLevelType w:val="hybridMultilevel"/>
    <w:lvl w:ilvl="0">
      <w:lvlJc w:val="left"/>
      <w:lvlText w:val="%1."/>
      <w:numFmt w:val="decimal"/>
      <w:start w:val="1"/>
    </w:lvl>
  </w:abstractNum>
  <w:abstractNum w:abstractNumId="294">
    <w:nsid w:val="788BD9B"/>
    <w:multiLevelType w:val="hybridMultilevel"/>
    <w:lvl w:ilvl="0">
      <w:lvlJc w:val="left"/>
      <w:lvlText w:val="%1."/>
      <w:numFmt w:val="decimal"/>
      <w:start w:val="4"/>
    </w:lvl>
  </w:abstractNum>
  <w:abstractNum w:abstractNumId="295">
    <w:nsid w:val="47CAA567"/>
    <w:multiLevelType w:val="hybridMultilevel"/>
    <w:lvl w:ilvl="0">
      <w:lvlJc w:val="left"/>
      <w:lvlText w:val="1"/>
      <w:numFmt w:val="bullet"/>
      <w:start w:val="1"/>
    </w:lvl>
  </w:abstractNum>
  <w:abstractNum w:abstractNumId="296">
    <w:nsid w:val="48249DBF"/>
    <w:multiLevelType w:val="hybridMultilevel"/>
    <w:lvl w:ilvl="0">
      <w:lvlJc w:val="left"/>
      <w:lvlText w:val="%1."/>
      <w:numFmt w:val="decimal"/>
      <w:start w:val="6"/>
    </w:lvl>
    <w:lvl w:ilvl="1">
      <w:lvlJc w:val="left"/>
      <w:lvlText w:val="%2."/>
      <w:numFmt w:val="lowerLetter"/>
      <w:start w:val="1"/>
    </w:lvl>
  </w:abstractNum>
  <w:abstractNum w:abstractNumId="297">
    <w:nsid w:val="1F0E5D0D"/>
    <w:multiLevelType w:val="hybridMultilevel"/>
    <w:lvl w:ilvl="0">
      <w:lvlJc w:val="left"/>
      <w:lvlText w:val="%1."/>
      <w:numFmt w:val="lowerLetter"/>
      <w:start w:val="3"/>
    </w:lvl>
  </w:abstractNum>
  <w:abstractNum w:abstractNumId="298">
    <w:nsid w:val="26BAAE9"/>
    <w:multiLevelType w:val="hybridMultilevel"/>
    <w:lvl w:ilvl="0">
      <w:lvlJc w:val="left"/>
      <w:lvlText w:val="%1."/>
      <w:numFmt w:val="decimal"/>
      <w:start w:val="8"/>
    </w:lvl>
    <w:lvl w:ilvl="1">
      <w:lvlJc w:val="left"/>
      <w:lvlText w:val="%2."/>
      <w:numFmt w:val="lowerLetter"/>
      <w:start w:val="1"/>
    </w:lvl>
  </w:abstractNum>
  <w:abstractNum w:abstractNumId="299">
    <w:nsid w:val="2C02FE8C"/>
    <w:multiLevelType w:val="hybridMultilevel"/>
    <w:lvl w:ilvl="0">
      <w:lvlJc w:val="left"/>
      <w:lvlText w:val="%1."/>
      <w:numFmt w:val="decimal"/>
      <w:start w:val="9"/>
    </w:lvl>
  </w:abstractNum>
  <w:abstractNum w:abstractNumId="300">
    <w:nsid w:val="129517E"/>
    <w:multiLevelType w:val="hybridMultilevel"/>
    <w:lvl w:ilvl="0">
      <w:lvlJc w:val="left"/>
      <w:lvlText w:val="%1."/>
      <w:numFmt w:val="decimal"/>
      <w:start w:val="12"/>
    </w:lvl>
  </w:abstractNum>
  <w:abstractNum w:abstractNumId="301">
    <w:nsid w:val="763B8C4E"/>
    <w:multiLevelType w:val="hybridMultilevel"/>
    <w:lvl w:ilvl="0">
      <w:lvlJc w:val="left"/>
      <w:lvlText w:val="%1."/>
      <w:numFmt w:val="decimal"/>
      <w:start w:val="17"/>
    </w:lvl>
  </w:abstractNum>
  <w:abstractNum w:abstractNumId="302">
    <w:nsid w:val="4CFB8D32"/>
    <w:multiLevelType w:val="hybridMultilevel"/>
    <w:lvl w:ilvl="0">
      <w:lvlJc w:val="left"/>
      <w:lvlText w:val="%1."/>
      <w:numFmt w:val="decimal"/>
      <w:start w:val="1"/>
    </w:lvl>
  </w:abstractNum>
  <w:abstractNum w:abstractNumId="303">
    <w:nsid w:val="62A5D5BD"/>
    <w:multiLevelType w:val="hybridMultilevel"/>
    <w:lvl w:ilvl="0">
      <w:lvlJc w:val="left"/>
      <w:lvlText w:val="%1."/>
      <w:numFmt w:val="decimal"/>
      <w:start w:val="2"/>
    </w:lvl>
  </w:abstractNum>
  <w:abstractNum w:abstractNumId="304">
    <w:nsid w:val="718FABF9"/>
    <w:multiLevelType w:val="hybridMultilevel"/>
    <w:lvl w:ilvl="0">
      <w:lvlJc w:val="left"/>
      <w:lvlText w:val="%1."/>
      <w:numFmt w:val="decimal"/>
      <w:start w:val="3"/>
    </w:lvl>
  </w:abstractNum>
  <w:abstractNum w:abstractNumId="305">
    <w:nsid w:val="7775797C"/>
    <w:multiLevelType w:val="hybridMultilevel"/>
    <w:lvl w:ilvl="0">
      <w:lvlJc w:val="left"/>
      <w:lvlText w:val="➢"/>
      <w:numFmt w:val="bullet"/>
      <w:start w:val="1"/>
    </w:lvl>
  </w:abstractNum>
  <w:abstractNum w:abstractNumId="306">
    <w:nsid w:val="1626FB8C"/>
    <w:multiLevelType w:val="hybridMultilevel"/>
    <w:lvl w:ilvl="0">
      <w:lvlJc w:val="left"/>
      <w:lvlText w:val="➢"/>
      <w:numFmt w:val="bullet"/>
      <w:start w:val="1"/>
    </w:lvl>
    <w:lvl w:ilvl="1">
      <w:lvlJc w:val="left"/>
      <w:lvlText w:val="•"/>
      <w:numFmt w:val="bullet"/>
      <w:start w:val="1"/>
    </w:lvl>
  </w:abstractNum>
  <w:abstractNum w:abstractNumId="307">
    <w:nsid w:val="3957756A"/>
    <w:multiLevelType w:val="hybridMultilevel"/>
    <w:lvl w:ilvl="0">
      <w:lvlJc w:val="left"/>
      <w:lvlText w:val="➢"/>
      <w:numFmt w:val="bullet"/>
      <w:start w:val="1"/>
    </w:lvl>
  </w:abstractNum>
  <w:abstractNum w:abstractNumId="308">
    <w:nsid w:val="3E6DA1C7"/>
    <w:multiLevelType w:val="hybridMultilevel"/>
    <w:lvl w:ilvl="0">
      <w:lvlJc w:val="left"/>
      <w:lvlText w:val="%1."/>
      <w:numFmt w:val="decimal"/>
      <w:start w:val="4"/>
    </w:lvl>
  </w:abstractNum>
  <w:abstractNum w:abstractNumId="309">
    <w:nsid w:val="65CA235B"/>
    <w:multiLevelType w:val="hybridMultilevel"/>
    <w:lvl w:ilvl="0">
      <w:lvlJc w:val="left"/>
      <w:lvlText w:val="•"/>
      <w:numFmt w:val="bullet"/>
      <w:start w:val="1"/>
    </w:lvl>
  </w:abstractNum>
  <w:abstractNum w:abstractNumId="310">
    <w:nsid w:val="51CB0DA4"/>
    <w:multiLevelType w:val="hybridMultilevel"/>
    <w:lvl w:ilvl="0">
      <w:lvlJc w:val="left"/>
      <w:lvlText w:val="%1."/>
      <w:numFmt w:val="decimal"/>
      <w:start w:val="5"/>
    </w:lvl>
  </w:abstractNum>
  <w:abstractNum w:abstractNumId="311">
    <w:nsid w:val="7B9B743C"/>
    <w:multiLevelType w:val="hybridMultilevel"/>
    <w:lvl w:ilvl="0">
      <w:lvlJc w:val="left"/>
      <w:lvlText w:val="*"/>
      <w:numFmt w:val="bullet"/>
      <w:start w:val="1"/>
    </w:lvl>
  </w:abstractNum>
  <w:abstractNum w:abstractNumId="312">
    <w:nsid w:val="13E21002"/>
    <w:multiLevelType w:val="hybridMultilevel"/>
    <w:lvl w:ilvl="0">
      <w:lvlJc w:val="left"/>
      <w:lvlText w:val="*"/>
      <w:numFmt w:val="bullet"/>
      <w:start w:val="1"/>
    </w:lvl>
  </w:abstractNum>
  <w:abstractNum w:abstractNumId="313">
    <w:nsid w:val="257D63F4"/>
    <w:multiLevelType w:val="hybridMultilevel"/>
    <w:lvl w:ilvl="0">
      <w:lvlJc w:val="left"/>
      <w:lvlText w:val="%1."/>
      <w:numFmt w:val="decimal"/>
      <w:start w:val="6"/>
    </w:lvl>
  </w:abstractNum>
  <w:abstractNum w:abstractNumId="314">
    <w:nsid w:val="70EC11B2"/>
    <w:multiLevelType w:val="hybridMultilevel"/>
    <w:lvl w:ilvl="0">
      <w:lvlJc w:val="left"/>
      <w:lvlText w:val="%1."/>
      <w:numFmt w:val="upperLetter"/>
      <w:start w:val="1"/>
    </w:lvl>
  </w:abstractNum>
  <w:abstractNum w:abstractNumId="315">
    <w:nsid w:val="2EDA00ED"/>
    <w:multiLevelType w:val="hybridMultilevel"/>
    <w:lvl w:ilvl="0">
      <w:lvlJc w:val="left"/>
      <w:lvlText w:val="%1."/>
      <w:numFmt w:val="upperLetter"/>
      <w:start w:val="2"/>
    </w:lvl>
  </w:abstractNum>
  <w:abstractNum w:abstractNumId="316">
    <w:nsid w:val="73209072"/>
    <w:multiLevelType w:val="hybridMultilevel"/>
    <w:lvl w:ilvl="0">
      <w:lvlJc w:val="left"/>
      <w:lvlText w:val="%1."/>
      <w:numFmt w:val="upperLetter"/>
      <w:start w:val="3"/>
    </w:lvl>
  </w:abstractNum>
  <w:abstractNum w:abstractNumId="317">
    <w:nsid w:val="5FB29816"/>
    <w:multiLevelType w:val="hybridMultilevel"/>
    <w:lvl w:ilvl="0">
      <w:lvlJc w:val="left"/>
      <w:lvlText w:val="%1."/>
      <w:numFmt w:val="upperLetter"/>
      <w:start w:val="4"/>
    </w:lvl>
  </w:abstractNum>
  <w:abstractNum w:abstractNumId="318">
    <w:nsid w:val="3CE732EC"/>
    <w:multiLevelType w:val="hybridMultilevel"/>
    <w:lvl w:ilvl="0">
      <w:lvlJc w:val="left"/>
      <w:lvlText w:val="%1."/>
      <w:numFmt w:val="upperLetter"/>
      <w:start w:val="5"/>
    </w:lvl>
  </w:abstractNum>
  <w:abstractNum w:abstractNumId="319">
    <w:nsid w:val="22F13DF3"/>
    <w:multiLevelType w:val="hybridMultilevel"/>
    <w:lvl w:ilvl="0">
      <w:lvlJc w:val="left"/>
      <w:lvlText w:val="%1."/>
      <w:numFmt w:val="decimal"/>
      <w:start w:val="7"/>
    </w:lvl>
  </w:abstractNum>
  <w:abstractNum w:abstractNumId="320">
    <w:nsid w:val="792B8401"/>
    <w:multiLevelType w:val="hybridMultilevel"/>
    <w:lvl w:ilvl="0">
      <w:lvlJc w:val="left"/>
      <w:lvlText w:val="%1."/>
      <w:numFmt w:val="decimal"/>
      <w:start w:val="7"/>
    </w:lvl>
    <w:lvl w:ilvl="1">
      <w:lvlJc w:val="left"/>
      <w:lvlText w:val="➢"/>
      <w:numFmt w:val="bullet"/>
      <w:start w:val="1"/>
    </w:lvl>
  </w:abstractNum>
  <w:abstractNum w:abstractNumId="321">
    <w:nsid w:val="FA85F4D"/>
    <w:multiLevelType w:val="hybridMultilevel"/>
    <w:lvl w:ilvl="0">
      <w:lvlJc w:val="left"/>
      <w:lvlText w:val="%1."/>
      <w:numFmt w:val="decimal"/>
      <w:start w:val="9"/>
    </w:lvl>
  </w:abstractNum>
  <w:abstractNum w:abstractNumId="322">
    <w:nsid w:val="6ECE91F0"/>
    <w:multiLevelType w:val="hybridMultilevel"/>
    <w:lvl w:ilvl="0">
      <w:lvlJc w:val="left"/>
      <w:lvlText w:val="%1."/>
      <w:numFmt w:val="decimal"/>
      <w:start w:val="10"/>
    </w:lvl>
  </w:abstractNum>
  <w:abstractNum w:abstractNumId="323">
    <w:nsid w:val="4FC4D600"/>
    <w:multiLevelType w:val="hybridMultilevel"/>
    <w:lvl w:ilvl="0">
      <w:lvlJc w:val="left"/>
      <w:lvlText w:val="%1."/>
      <w:numFmt w:val="decimal"/>
      <w:start w:val="1"/>
    </w:lvl>
  </w:abstractNum>
  <w:abstractNum w:abstractNumId="324">
    <w:nsid w:val="5BFD4210"/>
    <w:multiLevelType w:val="hybridMultilevel"/>
    <w:lvl w:ilvl="0">
      <w:lvlJc w:val="left"/>
      <w:lvlText w:val="%1."/>
      <w:numFmt w:val="decimal"/>
      <w:start w:val="1"/>
    </w:lvl>
    <w:lvl w:ilvl="1">
      <w:lvlJc w:val="left"/>
      <w:lvlText w:val="%2."/>
      <w:numFmt w:val="lowerLetter"/>
      <w:start w:val="1"/>
    </w:lvl>
  </w:abstractNum>
  <w:abstractNum w:abstractNumId="325">
    <w:nsid w:val="76574F8B"/>
    <w:multiLevelType w:val="hybridMultilevel"/>
    <w:lvl w:ilvl="0">
      <w:lvlJc w:val="left"/>
      <w:lvlText w:val="%1."/>
      <w:numFmt w:val="decimal"/>
      <w:start w:val="1"/>
    </w:lvl>
    <w:lvl w:ilvl="1">
      <w:lvlJc w:val="left"/>
      <w:lvlText w:val="%2."/>
      <w:numFmt w:val="lowerLetter"/>
      <w:start w:val="1"/>
    </w:lvl>
  </w:abstractNum>
  <w:abstractNum w:abstractNumId="326">
    <w:nsid w:val="178F7B67"/>
    <w:multiLevelType w:val="hybridMultilevel"/>
    <w:lvl w:ilvl="0">
      <w:lvlJc w:val="left"/>
      <w:lvlText w:val="•"/>
      <w:numFmt w:val="bullet"/>
      <w:start w:val="1"/>
    </w:lvl>
  </w:abstractNum>
  <w:abstractNum w:abstractNumId="327">
    <w:nsid w:val="2421DFC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5" Type="http://schemas.openxmlformats.org/officeDocument/2006/relationships/image" Target="media/image440.png"/><Relationship Id="rId456" Type="http://schemas.openxmlformats.org/officeDocument/2006/relationships/image" Target="media/image441.png"/><Relationship Id="rId457" Type="http://schemas.openxmlformats.org/officeDocument/2006/relationships/image" Target="media/image442.png"/><Relationship Id="rId458" Type="http://schemas.openxmlformats.org/officeDocument/2006/relationships/image" Target="media/image443.png"/><Relationship Id="rId460" Type="http://schemas.openxmlformats.org/officeDocument/2006/relationships/image" Target="media/image444.png"/><Relationship Id="rId461" Type="http://schemas.openxmlformats.org/officeDocument/2006/relationships/image" Target="media/image445.png"/><Relationship Id="rId462" Type="http://schemas.openxmlformats.org/officeDocument/2006/relationships/image" Target="media/image446.png"/><Relationship Id="rId463" Type="http://schemas.openxmlformats.org/officeDocument/2006/relationships/image" Target="media/image447.png"/><Relationship Id="rId465" Type="http://schemas.openxmlformats.org/officeDocument/2006/relationships/image" Target="media/image448.png"/><Relationship Id="rId466" Type="http://schemas.openxmlformats.org/officeDocument/2006/relationships/image" Target="media/image449.png"/><Relationship Id="rId467"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10" Type="http://schemas.openxmlformats.org/officeDocument/2006/relationships/image" Target="media/image484.png"/><Relationship Id="rId511" Type="http://schemas.openxmlformats.org/officeDocument/2006/relationships/image" Target="media/image485.png"/><Relationship Id="rId512" Type="http://schemas.openxmlformats.org/officeDocument/2006/relationships/image" Target="media/image486.png"/><Relationship Id="rId513" Type="http://schemas.openxmlformats.org/officeDocument/2006/relationships/image" Target="media/image487.png"/><Relationship Id="rId515" Type="http://schemas.openxmlformats.org/officeDocument/2006/relationships/image" Target="media/image488.png"/><Relationship Id="rId516" Type="http://schemas.openxmlformats.org/officeDocument/2006/relationships/image" Target="media/image489.png"/><Relationship Id="rId517" Type="http://schemas.openxmlformats.org/officeDocument/2006/relationships/image" Target="media/image490.png"/><Relationship Id="rId518"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5" Type="http://schemas.openxmlformats.org/officeDocument/2006/relationships/image" Target="media/image496.png"/><Relationship Id="rId526" Type="http://schemas.openxmlformats.org/officeDocument/2006/relationships/image" Target="media/image497.png"/><Relationship Id="rId527" Type="http://schemas.openxmlformats.org/officeDocument/2006/relationships/image" Target="media/image498.png"/><Relationship Id="rId528" Type="http://schemas.openxmlformats.org/officeDocument/2006/relationships/image" Target="media/image499.png"/><Relationship Id="rId529" Type="http://schemas.openxmlformats.org/officeDocument/2006/relationships/image" Target="media/image500.png"/><Relationship Id="rId530" Type="http://schemas.openxmlformats.org/officeDocument/2006/relationships/image" Target="media/image501.png"/><Relationship Id="rId532" Type="http://schemas.openxmlformats.org/officeDocument/2006/relationships/image" Target="media/image502.png"/><Relationship Id="rId533" Type="http://schemas.openxmlformats.org/officeDocument/2006/relationships/image" Target="media/image503.png"/><Relationship Id="rId534" Type="http://schemas.openxmlformats.org/officeDocument/2006/relationships/image" Target="media/image504.png"/><Relationship Id="rId535" Type="http://schemas.openxmlformats.org/officeDocument/2006/relationships/image" Target="media/image505.png"/><Relationship Id="rId537" Type="http://schemas.openxmlformats.org/officeDocument/2006/relationships/image" Target="media/image506.png"/><Relationship Id="rId538" Type="http://schemas.openxmlformats.org/officeDocument/2006/relationships/image" Target="media/image507.png"/><Relationship Id="rId539" Type="http://schemas.openxmlformats.org/officeDocument/2006/relationships/image" Target="media/image508.png"/><Relationship Id="rId540"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7" Type="http://schemas.openxmlformats.org/officeDocument/2006/relationships/image" Target="media/image514.png"/><Relationship Id="rId548" Type="http://schemas.openxmlformats.org/officeDocument/2006/relationships/image" Target="media/image515.png"/><Relationship Id="rId549" Type="http://schemas.openxmlformats.org/officeDocument/2006/relationships/image" Target="media/image516.png"/><Relationship Id="rId550"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3" Type="http://schemas.openxmlformats.org/officeDocument/2006/relationships/image" Target="media/image527.png"/><Relationship Id="rId564" Type="http://schemas.openxmlformats.org/officeDocument/2006/relationships/image" Target="media/image528.png"/><Relationship Id="rId565" Type="http://schemas.openxmlformats.org/officeDocument/2006/relationships/image" Target="media/image529.png"/><Relationship Id="rId566" Type="http://schemas.openxmlformats.org/officeDocument/2006/relationships/image" Target="media/image530.png"/><Relationship Id="rId568" Type="http://schemas.openxmlformats.org/officeDocument/2006/relationships/image" Target="media/image531.png"/><Relationship Id="rId569" Type="http://schemas.openxmlformats.org/officeDocument/2006/relationships/image" Target="media/image532.png"/><Relationship Id="rId570" Type="http://schemas.openxmlformats.org/officeDocument/2006/relationships/image" Target="media/image533.png"/><Relationship Id="rId571" Type="http://schemas.openxmlformats.org/officeDocument/2006/relationships/image" Target="media/image534.png"/><Relationship Id="rId573" Type="http://schemas.openxmlformats.org/officeDocument/2006/relationships/image" Target="media/image535.png"/><Relationship Id="rId574" Type="http://schemas.openxmlformats.org/officeDocument/2006/relationships/image" Target="media/image536.png"/><Relationship Id="rId575" Type="http://schemas.openxmlformats.org/officeDocument/2006/relationships/image" Target="media/image537.png"/><Relationship Id="rId576" Type="http://schemas.openxmlformats.org/officeDocument/2006/relationships/image" Target="media/image538.png"/><Relationship Id="rId578" Type="http://schemas.openxmlformats.org/officeDocument/2006/relationships/image" Target="media/image539.png"/><Relationship Id="rId579" Type="http://schemas.openxmlformats.org/officeDocument/2006/relationships/image" Target="media/image540.png"/><Relationship Id="rId580" Type="http://schemas.openxmlformats.org/officeDocument/2006/relationships/image" Target="media/image541.png"/><Relationship Id="rId581" Type="http://schemas.openxmlformats.org/officeDocument/2006/relationships/image" Target="media/image542.png"/><Relationship Id="rId582" Type="http://schemas.openxmlformats.org/officeDocument/2006/relationships/image" Target="media/image543.png"/><Relationship Id="rId584" Type="http://schemas.openxmlformats.org/officeDocument/2006/relationships/image" Target="media/image544.png"/><Relationship Id="rId585" Type="http://schemas.openxmlformats.org/officeDocument/2006/relationships/image" Target="media/image545.png"/><Relationship Id="rId586" Type="http://schemas.openxmlformats.org/officeDocument/2006/relationships/image" Target="media/image546.png"/><Relationship Id="rId587" Type="http://schemas.openxmlformats.org/officeDocument/2006/relationships/image" Target="media/image547.png"/><Relationship Id="rId588" Type="http://schemas.openxmlformats.org/officeDocument/2006/relationships/image" Target="media/image548.png"/><Relationship Id="rId590" Type="http://schemas.openxmlformats.org/officeDocument/2006/relationships/image" Target="media/image549.png"/><Relationship Id="rId591" Type="http://schemas.openxmlformats.org/officeDocument/2006/relationships/image" Target="media/image550.png"/><Relationship Id="rId592" Type="http://schemas.openxmlformats.org/officeDocument/2006/relationships/image" Target="media/image551.png"/><Relationship Id="rId593" Type="http://schemas.openxmlformats.org/officeDocument/2006/relationships/image" Target="media/image552.png"/><Relationship Id="rId594" Type="http://schemas.openxmlformats.org/officeDocument/2006/relationships/image" Target="media/image553.png"/><Relationship Id="rId595" Type="http://schemas.openxmlformats.org/officeDocument/2006/relationships/image" Target="media/image554.png"/><Relationship Id="rId596" Type="http://schemas.openxmlformats.org/officeDocument/2006/relationships/image" Target="media/image555.png"/><Relationship Id="rId598" Type="http://schemas.openxmlformats.org/officeDocument/2006/relationships/image" Target="media/image556.png"/><Relationship Id="rId599" Type="http://schemas.openxmlformats.org/officeDocument/2006/relationships/image" Target="media/image557.png"/><Relationship Id="rId600" Type="http://schemas.openxmlformats.org/officeDocument/2006/relationships/image" Target="media/image558.png"/><Relationship Id="rId602" Type="http://schemas.openxmlformats.org/officeDocument/2006/relationships/image" Target="media/image559.png"/><Relationship Id="rId603" Type="http://schemas.openxmlformats.org/officeDocument/2006/relationships/image" Target="media/image560.png"/><Relationship Id="rId604" Type="http://schemas.openxmlformats.org/officeDocument/2006/relationships/image" Target="media/image561.png"/><Relationship Id="rId606" Type="http://schemas.openxmlformats.org/officeDocument/2006/relationships/image" Target="media/image562.png"/><Relationship Id="rId607" Type="http://schemas.openxmlformats.org/officeDocument/2006/relationships/image" Target="media/image563.png"/><Relationship Id="rId608" Type="http://schemas.openxmlformats.org/officeDocument/2006/relationships/image" Target="media/image564.png"/><Relationship Id="rId609" Type="http://schemas.openxmlformats.org/officeDocument/2006/relationships/image" Target="media/image565.png"/><Relationship Id="rId610" Type="http://schemas.openxmlformats.org/officeDocument/2006/relationships/image" Target="media/image566.png"/><Relationship Id="rId611" Type="http://schemas.openxmlformats.org/officeDocument/2006/relationships/image" Target="media/image567.png"/><Relationship Id="rId612" Type="http://schemas.openxmlformats.org/officeDocument/2006/relationships/image" Target="media/image568.png"/><Relationship Id="rId613" Type="http://schemas.openxmlformats.org/officeDocument/2006/relationships/image" Target="media/image569.png"/><Relationship Id="rId614" Type="http://schemas.openxmlformats.org/officeDocument/2006/relationships/image" Target="media/image570.png"/><Relationship Id="rId615" Type="http://schemas.openxmlformats.org/officeDocument/2006/relationships/image" Target="media/image571.png"/><Relationship Id="rId616" Type="http://schemas.openxmlformats.org/officeDocument/2006/relationships/image" Target="media/image572.png"/><Relationship Id="rId617" Type="http://schemas.openxmlformats.org/officeDocument/2006/relationships/image" Target="media/image573.png"/><Relationship Id="rId618" Type="http://schemas.openxmlformats.org/officeDocument/2006/relationships/image" Target="media/image574.png"/><Relationship Id="rId619" Type="http://schemas.openxmlformats.org/officeDocument/2006/relationships/image" Target="media/image575.png"/><Relationship Id="rId620" Type="http://schemas.openxmlformats.org/officeDocument/2006/relationships/image" Target="media/image576.png"/><Relationship Id="rId621" Type="http://schemas.openxmlformats.org/officeDocument/2006/relationships/image" Target="media/image577.png"/><Relationship Id="rId622" Type="http://schemas.openxmlformats.org/officeDocument/2006/relationships/image" Target="media/image578.png"/><Relationship Id="rId623" Type="http://schemas.openxmlformats.org/officeDocument/2006/relationships/image" Target="media/image579.png"/><Relationship Id="rId625" Type="http://schemas.openxmlformats.org/officeDocument/2006/relationships/image" Target="media/image580.png"/><Relationship Id="rId626" Type="http://schemas.openxmlformats.org/officeDocument/2006/relationships/image" Target="media/image581.png"/><Relationship Id="rId627" Type="http://schemas.openxmlformats.org/officeDocument/2006/relationships/image" Target="media/image582.png"/><Relationship Id="rId628" Type="http://schemas.openxmlformats.org/officeDocument/2006/relationships/image" Target="media/image583.png"/><Relationship Id="rId629" Type="http://schemas.openxmlformats.org/officeDocument/2006/relationships/image" Target="media/image584.png"/><Relationship Id="rId630" Type="http://schemas.openxmlformats.org/officeDocument/2006/relationships/image" Target="media/image585.png"/><Relationship Id="rId631" Type="http://schemas.openxmlformats.org/officeDocument/2006/relationships/image" Target="media/image586.png"/><Relationship Id="rId632" Type="http://schemas.openxmlformats.org/officeDocument/2006/relationships/image" Target="media/image587.png"/><Relationship Id="rId633" Type="http://schemas.openxmlformats.org/officeDocument/2006/relationships/image" Target="media/image588.png"/><Relationship Id="rId634" Type="http://schemas.openxmlformats.org/officeDocument/2006/relationships/image" Target="media/image589.png"/><Relationship Id="rId635" Type="http://schemas.openxmlformats.org/officeDocument/2006/relationships/image" Target="media/image590.png"/><Relationship Id="rId636" Type="http://schemas.openxmlformats.org/officeDocument/2006/relationships/image" Target="media/image591.png"/><Relationship Id="rId637" Type="http://schemas.openxmlformats.org/officeDocument/2006/relationships/image" Target="media/image592.png"/><Relationship Id="rId638" Type="http://schemas.openxmlformats.org/officeDocument/2006/relationships/image" Target="media/image593.png"/><Relationship Id="rId639" Type="http://schemas.openxmlformats.org/officeDocument/2006/relationships/image" Target="media/image594.png"/><Relationship Id="rId640" Type="http://schemas.openxmlformats.org/officeDocument/2006/relationships/image" Target="media/image595.png"/><Relationship Id="rId641" Type="http://schemas.openxmlformats.org/officeDocument/2006/relationships/image" Target="media/image596.png"/><Relationship Id="rId642" Type="http://schemas.openxmlformats.org/officeDocument/2006/relationships/image" Target="media/image597.png"/><Relationship Id="rId643" Type="http://schemas.openxmlformats.org/officeDocument/2006/relationships/image" Target="media/image598.jpeg"/><Relationship Id="rId644" Type="http://schemas.openxmlformats.org/officeDocument/2006/relationships/image" Target="media/image599.png"/><Relationship Id="rId645" Type="http://schemas.openxmlformats.org/officeDocument/2006/relationships/image" Target="media/image600.png"/><Relationship Id="rId646" Type="http://schemas.openxmlformats.org/officeDocument/2006/relationships/image" Target="media/image601.png"/><Relationship Id="rId647" Type="http://schemas.openxmlformats.org/officeDocument/2006/relationships/image" Target="media/image602.png"/><Relationship Id="rId648" Type="http://schemas.openxmlformats.org/officeDocument/2006/relationships/image" Target="media/image603.png"/><Relationship Id="rId649" Type="http://schemas.openxmlformats.org/officeDocument/2006/relationships/image" Target="media/image604.png"/><Relationship Id="rId650" Type="http://schemas.openxmlformats.org/officeDocument/2006/relationships/image" Target="media/image605.png"/><Relationship Id="rId651" Type="http://schemas.openxmlformats.org/officeDocument/2006/relationships/image" Target="media/image606.png"/><Relationship Id="rId652" Type="http://schemas.openxmlformats.org/officeDocument/2006/relationships/image" Target="media/image607.png"/><Relationship Id="rId653" Type="http://schemas.openxmlformats.org/officeDocument/2006/relationships/image" Target="media/image608.png"/><Relationship Id="rId654" Type="http://schemas.openxmlformats.org/officeDocument/2006/relationships/image" Target="media/image609.png"/><Relationship Id="rId655" Type="http://schemas.openxmlformats.org/officeDocument/2006/relationships/image" Target="media/image610.png"/><Relationship Id="rId656" Type="http://schemas.openxmlformats.org/officeDocument/2006/relationships/image" Target="media/image611.png"/><Relationship Id="rId657" Type="http://schemas.openxmlformats.org/officeDocument/2006/relationships/image" Target="media/image612.png"/><Relationship Id="rId658" Type="http://schemas.openxmlformats.org/officeDocument/2006/relationships/image" Target="media/image613.png"/><Relationship Id="rId659" Type="http://schemas.openxmlformats.org/officeDocument/2006/relationships/image" Target="media/image614.png"/><Relationship Id="rId660" Type="http://schemas.openxmlformats.org/officeDocument/2006/relationships/image" Target="media/image615.png"/><Relationship Id="rId661" Type="http://schemas.openxmlformats.org/officeDocument/2006/relationships/image" Target="media/image616.png"/><Relationship Id="rId662" Type="http://schemas.openxmlformats.org/officeDocument/2006/relationships/image" Target="media/image617.png"/><Relationship Id="rId663" Type="http://schemas.openxmlformats.org/officeDocument/2006/relationships/image" Target="media/image618.jpeg"/><Relationship Id="rId664" Type="http://schemas.openxmlformats.org/officeDocument/2006/relationships/image" Target="media/image619.png"/><Relationship Id="rId665" Type="http://schemas.openxmlformats.org/officeDocument/2006/relationships/image" Target="media/image620.png"/><Relationship Id="rId666" Type="http://schemas.openxmlformats.org/officeDocument/2006/relationships/image" Target="media/image621.png"/><Relationship Id="rId667" Type="http://schemas.openxmlformats.org/officeDocument/2006/relationships/image" Target="media/image622.png"/><Relationship Id="rId668" Type="http://schemas.openxmlformats.org/officeDocument/2006/relationships/image" Target="media/image623.png"/><Relationship Id="rId669" Type="http://schemas.openxmlformats.org/officeDocument/2006/relationships/image" Target="media/image624.png"/><Relationship Id="rId670" Type="http://schemas.openxmlformats.org/officeDocument/2006/relationships/image" Target="media/image625.png"/><Relationship Id="rId671" Type="http://schemas.openxmlformats.org/officeDocument/2006/relationships/image" Target="media/image626.png"/><Relationship Id="rId672" Type="http://schemas.openxmlformats.org/officeDocument/2006/relationships/image" Target="media/image627.png"/><Relationship Id="rId673" Type="http://schemas.openxmlformats.org/officeDocument/2006/relationships/image" Target="media/image628.png"/><Relationship Id="rId674" Type="http://schemas.openxmlformats.org/officeDocument/2006/relationships/image" Target="media/image629.png"/><Relationship Id="rId675" Type="http://schemas.openxmlformats.org/officeDocument/2006/relationships/image" Target="media/image630.png"/><Relationship Id="rId676" Type="http://schemas.openxmlformats.org/officeDocument/2006/relationships/image" Target="media/image631.png"/><Relationship Id="rId677" Type="http://schemas.openxmlformats.org/officeDocument/2006/relationships/image" Target="media/image632.png"/><Relationship Id="rId678" Type="http://schemas.openxmlformats.org/officeDocument/2006/relationships/image" Target="media/image633.png"/><Relationship Id="rId679" Type="http://schemas.openxmlformats.org/officeDocument/2006/relationships/image" Target="media/image634.png"/><Relationship Id="rId680" Type="http://schemas.openxmlformats.org/officeDocument/2006/relationships/image" Target="media/image635.png"/><Relationship Id="rId681" Type="http://schemas.openxmlformats.org/officeDocument/2006/relationships/image" Target="media/image636.png"/><Relationship Id="rId682" Type="http://schemas.openxmlformats.org/officeDocument/2006/relationships/image" Target="media/image637.png"/><Relationship Id="rId683" Type="http://schemas.openxmlformats.org/officeDocument/2006/relationships/image" Target="media/image638.png"/><Relationship Id="rId684" Type="http://schemas.openxmlformats.org/officeDocument/2006/relationships/image" Target="media/image639.png"/><Relationship Id="rId685" Type="http://schemas.openxmlformats.org/officeDocument/2006/relationships/image" Target="media/image640.png"/><Relationship Id="rId686" Type="http://schemas.openxmlformats.org/officeDocument/2006/relationships/image" Target="media/image641.png"/><Relationship Id="rId687" Type="http://schemas.openxmlformats.org/officeDocument/2006/relationships/image" Target="media/image642.png"/><Relationship Id="rId688" Type="http://schemas.openxmlformats.org/officeDocument/2006/relationships/image" Target="media/image643.png"/><Relationship Id="rId689" Type="http://schemas.openxmlformats.org/officeDocument/2006/relationships/image" Target="media/image644.png"/><Relationship Id="rId690" Type="http://schemas.openxmlformats.org/officeDocument/2006/relationships/image" Target="media/image645.png"/><Relationship Id="rId691" Type="http://schemas.openxmlformats.org/officeDocument/2006/relationships/image" Target="media/image646.png"/><Relationship Id="rId692" Type="http://schemas.openxmlformats.org/officeDocument/2006/relationships/image" Target="media/image647.png"/><Relationship Id="rId693" Type="http://schemas.openxmlformats.org/officeDocument/2006/relationships/image" Target="media/image648.png"/><Relationship Id="rId694" Type="http://schemas.openxmlformats.org/officeDocument/2006/relationships/image" Target="media/image649.png"/><Relationship Id="rId695" Type="http://schemas.openxmlformats.org/officeDocument/2006/relationships/image" Target="media/image650.png"/><Relationship Id="rId696" Type="http://schemas.openxmlformats.org/officeDocument/2006/relationships/image" Target="media/image651.png"/><Relationship Id="rId697" Type="http://schemas.openxmlformats.org/officeDocument/2006/relationships/image" Target="media/image652.png"/><Relationship Id="rId698" Type="http://schemas.openxmlformats.org/officeDocument/2006/relationships/image" Target="media/image653.png"/><Relationship Id="rId699" Type="http://schemas.openxmlformats.org/officeDocument/2006/relationships/image" Target="media/image654.png"/><Relationship Id="rId700" Type="http://schemas.openxmlformats.org/officeDocument/2006/relationships/image" Target="media/image655.png"/><Relationship Id="rId701" Type="http://schemas.openxmlformats.org/officeDocument/2006/relationships/image" Target="media/image656.png"/><Relationship Id="rId702" Type="http://schemas.openxmlformats.org/officeDocument/2006/relationships/image" Target="media/image657.png"/><Relationship Id="rId703" Type="http://schemas.openxmlformats.org/officeDocument/2006/relationships/image" Target="media/image658.png"/><Relationship Id="rId704" Type="http://schemas.openxmlformats.org/officeDocument/2006/relationships/image" Target="media/image659.png"/><Relationship Id="rId705" Type="http://schemas.openxmlformats.org/officeDocument/2006/relationships/image" Target="media/image660.png"/><Relationship Id="rId706" Type="http://schemas.openxmlformats.org/officeDocument/2006/relationships/image" Target="media/image661.png"/><Relationship Id="rId707" Type="http://schemas.openxmlformats.org/officeDocument/2006/relationships/image" Target="media/image662.png"/><Relationship Id="rId708" Type="http://schemas.openxmlformats.org/officeDocument/2006/relationships/image" Target="media/image663.png"/><Relationship Id="rId709" Type="http://schemas.openxmlformats.org/officeDocument/2006/relationships/image" Target="media/image664.png"/><Relationship Id="rId710" Type="http://schemas.openxmlformats.org/officeDocument/2006/relationships/image" Target="media/image665.png"/><Relationship Id="rId711" Type="http://schemas.openxmlformats.org/officeDocument/2006/relationships/image" Target="media/image666.png"/><Relationship Id="rId712" Type="http://schemas.openxmlformats.org/officeDocument/2006/relationships/image" Target="media/image667.png"/><Relationship Id="rId713" Type="http://schemas.openxmlformats.org/officeDocument/2006/relationships/image" Target="media/image668.png"/><Relationship Id="rId714" Type="http://schemas.openxmlformats.org/officeDocument/2006/relationships/image" Target="media/image669.png"/><Relationship Id="rId715" Type="http://schemas.openxmlformats.org/officeDocument/2006/relationships/image" Target="media/image670.png"/><Relationship Id="rId716" Type="http://schemas.openxmlformats.org/officeDocument/2006/relationships/image" Target="media/image671.png"/><Relationship Id="rId717" Type="http://schemas.openxmlformats.org/officeDocument/2006/relationships/image" Target="media/image672.png"/><Relationship Id="rId718" Type="http://schemas.openxmlformats.org/officeDocument/2006/relationships/image" Target="media/image673.png"/><Relationship Id="rId719" Type="http://schemas.openxmlformats.org/officeDocument/2006/relationships/image" Target="media/image674.png"/><Relationship Id="rId720" Type="http://schemas.openxmlformats.org/officeDocument/2006/relationships/image" Target="media/image675.png"/><Relationship Id="rId721" Type="http://schemas.openxmlformats.org/officeDocument/2006/relationships/image" Target="media/image676.png"/><Relationship Id="rId722" Type="http://schemas.openxmlformats.org/officeDocument/2006/relationships/image" Target="media/image677.png"/><Relationship Id="rId723" Type="http://schemas.openxmlformats.org/officeDocument/2006/relationships/image" Target="media/image678.png"/><Relationship Id="rId724" Type="http://schemas.openxmlformats.org/officeDocument/2006/relationships/image" Target="media/image679.png"/><Relationship Id="rId725" Type="http://schemas.openxmlformats.org/officeDocument/2006/relationships/image" Target="media/image680.png"/><Relationship Id="rId726" Type="http://schemas.openxmlformats.org/officeDocument/2006/relationships/image" Target="media/image681.png"/><Relationship Id="rId727" Type="http://schemas.openxmlformats.org/officeDocument/2006/relationships/image" Target="media/image682.png"/><Relationship Id="rId728" Type="http://schemas.openxmlformats.org/officeDocument/2006/relationships/image" Target="media/image683.png"/><Relationship Id="rId729" Type="http://schemas.openxmlformats.org/officeDocument/2006/relationships/image" Target="media/image684.png"/><Relationship Id="rId730" Type="http://schemas.openxmlformats.org/officeDocument/2006/relationships/image" Target="media/image685.png"/><Relationship Id="rId731" Type="http://schemas.openxmlformats.org/officeDocument/2006/relationships/image" Target="media/image686.png"/><Relationship Id="rId732" Type="http://schemas.openxmlformats.org/officeDocument/2006/relationships/image" Target="media/image687.png"/><Relationship Id="rId733" Type="http://schemas.openxmlformats.org/officeDocument/2006/relationships/image" Target="media/image688.png"/><Relationship Id="rId734" Type="http://schemas.openxmlformats.org/officeDocument/2006/relationships/image" Target="media/image689.png"/><Relationship Id="rId735" Type="http://schemas.openxmlformats.org/officeDocument/2006/relationships/image" Target="media/image690.png"/><Relationship Id="rId736" Type="http://schemas.openxmlformats.org/officeDocument/2006/relationships/image" Target="media/image691.png"/><Relationship Id="rId737" Type="http://schemas.openxmlformats.org/officeDocument/2006/relationships/image" Target="media/image692.png"/><Relationship Id="rId738" Type="http://schemas.openxmlformats.org/officeDocument/2006/relationships/image" Target="media/image693.png"/><Relationship Id="rId739" Type="http://schemas.openxmlformats.org/officeDocument/2006/relationships/image" Target="media/image694.png"/><Relationship Id="rId740" Type="http://schemas.openxmlformats.org/officeDocument/2006/relationships/image" Target="media/image695.png"/><Relationship Id="rId741" Type="http://schemas.openxmlformats.org/officeDocument/2006/relationships/image" Target="media/image696.png"/><Relationship Id="rId742" Type="http://schemas.openxmlformats.org/officeDocument/2006/relationships/image" Target="media/image697.png"/><Relationship Id="rId743" Type="http://schemas.openxmlformats.org/officeDocument/2006/relationships/image" Target="media/image698.png"/><Relationship Id="rId744" Type="http://schemas.openxmlformats.org/officeDocument/2006/relationships/image" Target="media/image699.png"/><Relationship Id="rId745" Type="http://schemas.openxmlformats.org/officeDocument/2006/relationships/image" Target="media/image700.png"/><Relationship Id="rId746" Type="http://schemas.openxmlformats.org/officeDocument/2006/relationships/image" Target="media/image701.png"/><Relationship Id="rId747" Type="http://schemas.openxmlformats.org/officeDocument/2006/relationships/image" Target="media/image702.png"/><Relationship Id="rId748" Type="http://schemas.openxmlformats.org/officeDocument/2006/relationships/image" Target="media/image703.png"/><Relationship Id="rId749" Type="http://schemas.openxmlformats.org/officeDocument/2006/relationships/image" Target="media/image704.png"/><Relationship Id="rId750" Type="http://schemas.openxmlformats.org/officeDocument/2006/relationships/image" Target="media/image705.png"/><Relationship Id="rId751" Type="http://schemas.openxmlformats.org/officeDocument/2006/relationships/image" Target="media/image706.png"/><Relationship Id="rId752" Type="http://schemas.openxmlformats.org/officeDocument/2006/relationships/image" Target="media/image707.png"/><Relationship Id="rId753" Type="http://schemas.openxmlformats.org/officeDocument/2006/relationships/image" Target="media/image708.png"/><Relationship Id="rId754" Type="http://schemas.openxmlformats.org/officeDocument/2006/relationships/image" Target="media/image709.png"/><Relationship Id="rId755" Type="http://schemas.openxmlformats.org/officeDocument/2006/relationships/image" Target="media/image710.png"/><Relationship Id="rId756" Type="http://schemas.openxmlformats.org/officeDocument/2006/relationships/image" Target="media/image711.png"/><Relationship Id="rId757" Type="http://schemas.openxmlformats.org/officeDocument/2006/relationships/image" Target="media/image712.png"/><Relationship Id="rId758" Type="http://schemas.openxmlformats.org/officeDocument/2006/relationships/image" Target="media/image713.png"/><Relationship Id="rId759" Type="http://schemas.openxmlformats.org/officeDocument/2006/relationships/image" Target="media/image714.png"/><Relationship Id="rId760" Type="http://schemas.openxmlformats.org/officeDocument/2006/relationships/image" Target="media/image715.png"/><Relationship Id="rId761" Type="http://schemas.openxmlformats.org/officeDocument/2006/relationships/image" Target="media/image716.png"/><Relationship Id="rId762" Type="http://schemas.openxmlformats.org/officeDocument/2006/relationships/image" Target="media/image717.png"/><Relationship Id="rId763" Type="http://schemas.openxmlformats.org/officeDocument/2006/relationships/image" Target="media/image718.png"/><Relationship Id="rId764" Type="http://schemas.openxmlformats.org/officeDocument/2006/relationships/image" Target="media/image719.png"/><Relationship Id="rId765" Type="http://schemas.openxmlformats.org/officeDocument/2006/relationships/image" Target="media/image720.png"/><Relationship Id="rId766" Type="http://schemas.openxmlformats.org/officeDocument/2006/relationships/image" Target="media/image721.png"/><Relationship Id="rId767" Type="http://schemas.openxmlformats.org/officeDocument/2006/relationships/image" Target="media/image722.png"/><Relationship Id="rId768" Type="http://schemas.openxmlformats.org/officeDocument/2006/relationships/image" Target="media/image723.png"/><Relationship Id="rId769" Type="http://schemas.openxmlformats.org/officeDocument/2006/relationships/image" Target="media/image724.png"/><Relationship Id="rId770" Type="http://schemas.openxmlformats.org/officeDocument/2006/relationships/image" Target="media/image725.png"/><Relationship Id="rId771" Type="http://schemas.openxmlformats.org/officeDocument/2006/relationships/image" Target="media/image726.png"/><Relationship Id="rId772" Type="http://schemas.openxmlformats.org/officeDocument/2006/relationships/image" Target="media/image727.png"/><Relationship Id="rId773" Type="http://schemas.openxmlformats.org/officeDocument/2006/relationships/image" Target="media/image728.png"/><Relationship Id="rId774" Type="http://schemas.openxmlformats.org/officeDocument/2006/relationships/image" Target="media/image729.png"/><Relationship Id="rId775" Type="http://schemas.openxmlformats.org/officeDocument/2006/relationships/image" Target="media/image730.png"/><Relationship Id="rId776" Type="http://schemas.openxmlformats.org/officeDocument/2006/relationships/image" Target="media/image731.png"/><Relationship Id="rId777" Type="http://schemas.openxmlformats.org/officeDocument/2006/relationships/image" Target="media/image732.png"/><Relationship Id="rId778" Type="http://schemas.openxmlformats.org/officeDocument/2006/relationships/image" Target="media/image733.png"/><Relationship Id="rId779" Type="http://schemas.openxmlformats.org/officeDocument/2006/relationships/image" Target="media/image734.png"/><Relationship Id="rId780" Type="http://schemas.openxmlformats.org/officeDocument/2006/relationships/image" Target="media/image735.png"/><Relationship Id="rId781" Type="http://schemas.openxmlformats.org/officeDocument/2006/relationships/image" Target="media/image736.png"/><Relationship Id="rId782" Type="http://schemas.openxmlformats.org/officeDocument/2006/relationships/image" Target="media/image737.png"/><Relationship Id="rId783" Type="http://schemas.openxmlformats.org/officeDocument/2006/relationships/image" Target="media/image738.png"/><Relationship Id="rId784" Type="http://schemas.openxmlformats.org/officeDocument/2006/relationships/image" Target="media/image739.png"/><Relationship Id="rId785" Type="http://schemas.openxmlformats.org/officeDocument/2006/relationships/image" Target="media/image740.png"/><Relationship Id="rId786" Type="http://schemas.openxmlformats.org/officeDocument/2006/relationships/image" Target="media/image741.png"/><Relationship Id="rId787" Type="http://schemas.openxmlformats.org/officeDocument/2006/relationships/image" Target="media/image742.png"/><Relationship Id="rId788" Type="http://schemas.openxmlformats.org/officeDocument/2006/relationships/image" Target="media/image743.png"/><Relationship Id="rId789" Type="http://schemas.openxmlformats.org/officeDocument/2006/relationships/image" Target="media/image744.png"/><Relationship Id="rId790" Type="http://schemas.openxmlformats.org/officeDocument/2006/relationships/image" Target="media/image745.png"/><Relationship Id="rId791" Type="http://schemas.openxmlformats.org/officeDocument/2006/relationships/image" Target="media/image746.png"/><Relationship Id="rId792" Type="http://schemas.openxmlformats.org/officeDocument/2006/relationships/image" Target="media/image747.png"/><Relationship Id="rId793" Type="http://schemas.openxmlformats.org/officeDocument/2006/relationships/image" Target="media/image748.png"/><Relationship Id="rId794" Type="http://schemas.openxmlformats.org/officeDocument/2006/relationships/image" Target="media/image749.png"/><Relationship Id="rId795" Type="http://schemas.openxmlformats.org/officeDocument/2006/relationships/image" Target="media/image750.png"/><Relationship Id="rId796" Type="http://schemas.openxmlformats.org/officeDocument/2006/relationships/image" Target="media/image751.png"/><Relationship Id="rId797" Type="http://schemas.openxmlformats.org/officeDocument/2006/relationships/image" Target="media/image752.png"/><Relationship Id="rId798" Type="http://schemas.openxmlformats.org/officeDocument/2006/relationships/image" Target="media/image753.png"/><Relationship Id="rId799" Type="http://schemas.openxmlformats.org/officeDocument/2006/relationships/image" Target="media/image754.png"/><Relationship Id="rId800" Type="http://schemas.openxmlformats.org/officeDocument/2006/relationships/image" Target="media/image755.png"/><Relationship Id="rId801" Type="http://schemas.openxmlformats.org/officeDocument/2006/relationships/image" Target="media/image756.png"/><Relationship Id="rId802" Type="http://schemas.openxmlformats.org/officeDocument/2006/relationships/image" Target="media/image757.png"/><Relationship Id="rId803" Type="http://schemas.openxmlformats.org/officeDocument/2006/relationships/image" Target="media/image758.png"/><Relationship Id="rId804" Type="http://schemas.openxmlformats.org/officeDocument/2006/relationships/image" Target="media/image759.png"/><Relationship Id="rId805" Type="http://schemas.openxmlformats.org/officeDocument/2006/relationships/image" Target="media/image760.png"/><Relationship Id="rId806" Type="http://schemas.openxmlformats.org/officeDocument/2006/relationships/image" Target="media/image761.png"/><Relationship Id="rId807" Type="http://schemas.openxmlformats.org/officeDocument/2006/relationships/image" Target="media/image762.png"/><Relationship Id="rId808" Type="http://schemas.openxmlformats.org/officeDocument/2006/relationships/image" Target="media/image763.png"/><Relationship Id="rId809" Type="http://schemas.openxmlformats.org/officeDocument/2006/relationships/image" Target="media/image764.png"/><Relationship Id="rId810" Type="http://schemas.openxmlformats.org/officeDocument/2006/relationships/image" Target="media/image765.png"/><Relationship Id="rId811" Type="http://schemas.openxmlformats.org/officeDocument/2006/relationships/image" Target="media/image766.png"/><Relationship Id="rId812" Type="http://schemas.openxmlformats.org/officeDocument/2006/relationships/image" Target="media/image767.png"/><Relationship Id="rId813" Type="http://schemas.openxmlformats.org/officeDocument/2006/relationships/image" Target="media/image768.png"/><Relationship Id="rId814" Type="http://schemas.openxmlformats.org/officeDocument/2006/relationships/image" Target="media/image769.png"/><Relationship Id="rId815" Type="http://schemas.openxmlformats.org/officeDocument/2006/relationships/image" Target="media/image770.png"/><Relationship Id="rId816" Type="http://schemas.openxmlformats.org/officeDocument/2006/relationships/image" Target="media/image771.png"/><Relationship Id="rId817" Type="http://schemas.openxmlformats.org/officeDocument/2006/relationships/image" Target="media/image772.png"/><Relationship Id="rId818" Type="http://schemas.openxmlformats.org/officeDocument/2006/relationships/image" Target="media/image773.png"/><Relationship Id="rId819" Type="http://schemas.openxmlformats.org/officeDocument/2006/relationships/image" Target="media/image774.png"/><Relationship Id="rId820" Type="http://schemas.openxmlformats.org/officeDocument/2006/relationships/image" Target="media/image775.png"/><Relationship Id="rId821" Type="http://schemas.openxmlformats.org/officeDocument/2006/relationships/image" Target="media/image776.png"/><Relationship Id="rId822" Type="http://schemas.openxmlformats.org/officeDocument/2006/relationships/image" Target="media/image777.png"/><Relationship Id="rId823" Type="http://schemas.openxmlformats.org/officeDocument/2006/relationships/image" Target="media/image778.png"/><Relationship Id="rId824" Type="http://schemas.openxmlformats.org/officeDocument/2006/relationships/image" Target="media/image779.png"/><Relationship Id="rId825" Type="http://schemas.openxmlformats.org/officeDocument/2006/relationships/image" Target="media/image780.png"/><Relationship Id="rId826" Type="http://schemas.openxmlformats.org/officeDocument/2006/relationships/image" Target="media/image781.png"/><Relationship Id="rId827" Type="http://schemas.openxmlformats.org/officeDocument/2006/relationships/image" Target="media/image782.png"/><Relationship Id="rId828" Type="http://schemas.openxmlformats.org/officeDocument/2006/relationships/image" Target="media/image783.png"/><Relationship Id="rId829" Type="http://schemas.openxmlformats.org/officeDocument/2006/relationships/image" Target="media/image784.png"/><Relationship Id="rId830" Type="http://schemas.openxmlformats.org/officeDocument/2006/relationships/image" Target="media/image785.png"/><Relationship Id="rId831" Type="http://schemas.openxmlformats.org/officeDocument/2006/relationships/image" Target="media/image786.png"/><Relationship Id="rId832" Type="http://schemas.openxmlformats.org/officeDocument/2006/relationships/image" Target="media/image787.png"/><Relationship Id="rId833" Type="http://schemas.openxmlformats.org/officeDocument/2006/relationships/image" Target="media/image788.png"/><Relationship Id="rId834" Type="http://schemas.openxmlformats.org/officeDocument/2006/relationships/image" Target="media/image789.png"/><Relationship Id="rId835" Type="http://schemas.openxmlformats.org/officeDocument/2006/relationships/image" Target="media/image790.png"/><Relationship Id="rId836" Type="http://schemas.openxmlformats.org/officeDocument/2006/relationships/image" Target="media/image791.png"/><Relationship Id="rId837" Type="http://schemas.openxmlformats.org/officeDocument/2006/relationships/image" Target="media/image792.png"/><Relationship Id="rId838" Type="http://schemas.openxmlformats.org/officeDocument/2006/relationships/image" Target="media/image793.png"/><Relationship Id="rId839" Type="http://schemas.openxmlformats.org/officeDocument/2006/relationships/image" Target="media/image794.png"/><Relationship Id="rId840" Type="http://schemas.openxmlformats.org/officeDocument/2006/relationships/image" Target="media/image795.png"/><Relationship Id="rId841" Type="http://schemas.openxmlformats.org/officeDocument/2006/relationships/image" Target="media/image796.png"/><Relationship Id="rId842" Type="http://schemas.openxmlformats.org/officeDocument/2006/relationships/image" Target="media/image797.png"/><Relationship Id="rId843" Type="http://schemas.openxmlformats.org/officeDocument/2006/relationships/image" Target="media/image798.png"/><Relationship Id="rId844" Type="http://schemas.openxmlformats.org/officeDocument/2006/relationships/image" Target="media/image799.png"/><Relationship Id="rId845" Type="http://schemas.openxmlformats.org/officeDocument/2006/relationships/image" Target="media/image800.png"/><Relationship Id="rId846" Type="http://schemas.openxmlformats.org/officeDocument/2006/relationships/image" Target="media/image801.png"/><Relationship Id="rId847" Type="http://schemas.openxmlformats.org/officeDocument/2006/relationships/image" Target="media/image802.png"/><Relationship Id="rId848" Type="http://schemas.openxmlformats.org/officeDocument/2006/relationships/image" Target="media/image803.png"/><Relationship Id="rId849" Type="http://schemas.openxmlformats.org/officeDocument/2006/relationships/image" Target="media/image804.png"/><Relationship Id="rId850" Type="http://schemas.openxmlformats.org/officeDocument/2006/relationships/image" Target="media/image805.png"/><Relationship Id="rId851" Type="http://schemas.openxmlformats.org/officeDocument/2006/relationships/image" Target="media/image806.png"/><Relationship Id="rId852" Type="http://schemas.openxmlformats.org/officeDocument/2006/relationships/image" Target="media/image807.png"/><Relationship Id="rId853" Type="http://schemas.openxmlformats.org/officeDocument/2006/relationships/image" Target="media/image808.png"/><Relationship Id="rId854" Type="http://schemas.openxmlformats.org/officeDocument/2006/relationships/image" Target="media/image809.png"/><Relationship Id="rId855" Type="http://schemas.openxmlformats.org/officeDocument/2006/relationships/image" Target="media/image810.png"/><Relationship Id="rId856" Type="http://schemas.openxmlformats.org/officeDocument/2006/relationships/image" Target="media/image811.png"/><Relationship Id="rId857" Type="http://schemas.openxmlformats.org/officeDocument/2006/relationships/image" Target="media/image812.png"/><Relationship Id="rId858" Type="http://schemas.openxmlformats.org/officeDocument/2006/relationships/image" Target="media/image813.png"/><Relationship Id="rId859" Type="http://schemas.openxmlformats.org/officeDocument/2006/relationships/image" Target="media/image814.png"/><Relationship Id="rId860" Type="http://schemas.openxmlformats.org/officeDocument/2006/relationships/image" Target="media/image815.png"/><Relationship Id="rId861" Type="http://schemas.openxmlformats.org/officeDocument/2006/relationships/image" Target="media/image816.png"/><Relationship Id="rId862" Type="http://schemas.openxmlformats.org/officeDocument/2006/relationships/image" Target="media/image817.png"/><Relationship Id="rId863" Type="http://schemas.openxmlformats.org/officeDocument/2006/relationships/image" Target="media/image818.png"/><Relationship Id="rId864" Type="http://schemas.openxmlformats.org/officeDocument/2006/relationships/image" Target="media/image819.png"/><Relationship Id="rId865" Type="http://schemas.openxmlformats.org/officeDocument/2006/relationships/image" Target="media/image820.png"/><Relationship Id="rId866" Type="http://schemas.openxmlformats.org/officeDocument/2006/relationships/image" Target="media/image821.png"/><Relationship Id="rId867" Type="http://schemas.openxmlformats.org/officeDocument/2006/relationships/image" Target="media/image822.png"/><Relationship Id="rId868" Type="http://schemas.openxmlformats.org/officeDocument/2006/relationships/image" Target="media/image823.png"/><Relationship Id="rId869" Type="http://schemas.openxmlformats.org/officeDocument/2006/relationships/image" Target="media/image824.png"/><Relationship Id="rId870" Type="http://schemas.openxmlformats.org/officeDocument/2006/relationships/image" Target="media/image825.png"/><Relationship Id="rId871" Type="http://schemas.openxmlformats.org/officeDocument/2006/relationships/image" Target="media/image826.png"/><Relationship Id="rId872" Type="http://schemas.openxmlformats.org/officeDocument/2006/relationships/image" Target="media/image827.png"/><Relationship Id="rId873" Type="http://schemas.openxmlformats.org/officeDocument/2006/relationships/image" Target="media/image828.png"/><Relationship Id="rId874" Type="http://schemas.openxmlformats.org/officeDocument/2006/relationships/image" Target="media/image829.png"/><Relationship Id="rId875" Type="http://schemas.openxmlformats.org/officeDocument/2006/relationships/image" Target="media/image830.png"/><Relationship Id="rId876" Type="http://schemas.openxmlformats.org/officeDocument/2006/relationships/image" Target="media/image831.png"/><Relationship Id="rId877" Type="http://schemas.openxmlformats.org/officeDocument/2006/relationships/image" Target="media/image832.png"/><Relationship Id="rId878" Type="http://schemas.openxmlformats.org/officeDocument/2006/relationships/image" Target="media/image833.png"/><Relationship Id="rId879" Type="http://schemas.openxmlformats.org/officeDocument/2006/relationships/image" Target="media/image834.png"/><Relationship Id="rId880" Type="http://schemas.openxmlformats.org/officeDocument/2006/relationships/image" Target="media/image835.png"/><Relationship Id="rId881" Type="http://schemas.openxmlformats.org/officeDocument/2006/relationships/image" Target="media/image836.png"/><Relationship Id="rId882" Type="http://schemas.openxmlformats.org/officeDocument/2006/relationships/image" Target="media/image837.png"/><Relationship Id="rId883" Type="http://schemas.openxmlformats.org/officeDocument/2006/relationships/image" Target="media/image838.png"/><Relationship Id="rId884" Type="http://schemas.openxmlformats.org/officeDocument/2006/relationships/image" Target="media/image839.png"/><Relationship Id="rId885" Type="http://schemas.openxmlformats.org/officeDocument/2006/relationships/image" Target="media/image840.png"/><Relationship Id="rId886" Type="http://schemas.openxmlformats.org/officeDocument/2006/relationships/image" Target="media/image841.png"/><Relationship Id="rId887" Type="http://schemas.openxmlformats.org/officeDocument/2006/relationships/image" Target="media/image842.png"/><Relationship Id="rId888" Type="http://schemas.openxmlformats.org/officeDocument/2006/relationships/image" Target="media/image843.png"/><Relationship Id="rId889" Type="http://schemas.openxmlformats.org/officeDocument/2006/relationships/image" Target="media/image844.png"/><Relationship Id="rId890" Type="http://schemas.openxmlformats.org/officeDocument/2006/relationships/image" Target="media/image845.png"/><Relationship Id="rId891" Type="http://schemas.openxmlformats.org/officeDocument/2006/relationships/image" Target="media/image846.png"/><Relationship Id="rId892" Type="http://schemas.openxmlformats.org/officeDocument/2006/relationships/image" Target="media/image847.png"/><Relationship Id="rId893" Type="http://schemas.openxmlformats.org/officeDocument/2006/relationships/image" Target="media/image848.png"/><Relationship Id="rId894" Type="http://schemas.openxmlformats.org/officeDocument/2006/relationships/image" Target="media/image849.png"/><Relationship Id="rId895" Type="http://schemas.openxmlformats.org/officeDocument/2006/relationships/image" Target="media/image850.png"/><Relationship Id="rId896" Type="http://schemas.openxmlformats.org/officeDocument/2006/relationships/image" Target="media/image851.png"/><Relationship Id="rId897" Type="http://schemas.openxmlformats.org/officeDocument/2006/relationships/image" Target="media/image852.png"/><Relationship Id="rId898" Type="http://schemas.openxmlformats.org/officeDocument/2006/relationships/image" Target="media/image853.png"/><Relationship Id="rId899" Type="http://schemas.openxmlformats.org/officeDocument/2006/relationships/image" Target="media/image854.png"/><Relationship Id="rId900" Type="http://schemas.openxmlformats.org/officeDocument/2006/relationships/image" Target="media/image855.png"/><Relationship Id="rId901" Type="http://schemas.openxmlformats.org/officeDocument/2006/relationships/image" Target="media/image856.png"/><Relationship Id="rId902" Type="http://schemas.openxmlformats.org/officeDocument/2006/relationships/image" Target="media/image857.png"/><Relationship Id="rId903" Type="http://schemas.openxmlformats.org/officeDocument/2006/relationships/image" Target="media/image858.png"/><Relationship Id="rId904" Type="http://schemas.openxmlformats.org/officeDocument/2006/relationships/image" Target="media/image859.png"/><Relationship Id="rId905" Type="http://schemas.openxmlformats.org/officeDocument/2006/relationships/image" Target="media/image860.png"/><Relationship Id="rId906" Type="http://schemas.openxmlformats.org/officeDocument/2006/relationships/image" Target="media/image861.png"/><Relationship Id="rId907" Type="http://schemas.openxmlformats.org/officeDocument/2006/relationships/image" Target="media/image862.png"/><Relationship Id="rId908" Type="http://schemas.openxmlformats.org/officeDocument/2006/relationships/image" Target="media/image863.png"/><Relationship Id="rId909" Type="http://schemas.openxmlformats.org/officeDocument/2006/relationships/image" Target="media/image864.png"/><Relationship Id="rId910" Type="http://schemas.openxmlformats.org/officeDocument/2006/relationships/image" Target="media/image865.png"/><Relationship Id="rId911" Type="http://schemas.openxmlformats.org/officeDocument/2006/relationships/image" Target="media/image866.png"/><Relationship Id="rId912" Type="http://schemas.openxmlformats.org/officeDocument/2006/relationships/image" Target="media/image867.png"/><Relationship Id="rId913" Type="http://schemas.openxmlformats.org/officeDocument/2006/relationships/image" Target="media/image868.png"/><Relationship Id="rId914" Type="http://schemas.openxmlformats.org/officeDocument/2006/relationships/image" Target="media/image869.png"/><Relationship Id="rId915" Type="http://schemas.openxmlformats.org/officeDocument/2006/relationships/image" Target="media/image870.png"/><Relationship Id="rId916" Type="http://schemas.openxmlformats.org/officeDocument/2006/relationships/image" Target="media/image871.png"/><Relationship Id="rId917" Type="http://schemas.openxmlformats.org/officeDocument/2006/relationships/image" Target="media/image872.png"/><Relationship Id="rId918" Type="http://schemas.openxmlformats.org/officeDocument/2006/relationships/image" Target="media/image873.png"/><Relationship Id="rId416" Type="http://schemas.openxmlformats.org/officeDocument/2006/relationships/hyperlink" Target="https://www.sec.gov/Archives/edgar/data/0000910406/000091040621000033/exh31-restatedcertificateo.htm" TargetMode="External"/><Relationship Id="rId420" Type="http://schemas.openxmlformats.org/officeDocument/2006/relationships/hyperlink" Target="https://www.sec.gov/Archives/edgar/data/910406/000095017025017025/hain-ex3_2.htm" TargetMode="External"/><Relationship Id="rId424" Type="http://schemas.openxmlformats.org/officeDocument/2006/relationships/hyperlink" Target="https://www.sec.gov/Archives/edgar/data/910406/0000912057-00-019377-index.html" TargetMode="External"/><Relationship Id="rId428" Type="http://schemas.openxmlformats.org/officeDocument/2006/relationships/hyperlink" Target="https://www.sec.gov/Archives/edgar/data/910406/000091040619000077/hain-63019xex42.htm" TargetMode="External"/><Relationship Id="rId432" Type="http://schemas.openxmlformats.org/officeDocument/2006/relationships/hyperlink" Target="https://www.sec.gov/Archives/edgar/data/0000910406/000119312521367938/d135642dex101.htm" TargetMode="External"/><Relationship Id="rId437" Type="http://schemas.openxmlformats.org/officeDocument/2006/relationships/hyperlink" Target="https://www.sec.gov/Archives/edgar/data/910406/000119312522309599/d423508dex101.htm" TargetMode="External"/><Relationship Id="rId442" Type="http://schemas.openxmlformats.org/officeDocument/2006/relationships/hyperlink" Target="https://www.sec.gov/Archives/edgar/data/910406/000091040623000114/exh101-secondamendmentto4t.htm" TargetMode="External"/><Relationship Id="rId454" Type="http://schemas.openxmlformats.org/officeDocument/2006/relationships/hyperlink" Target="https://www.sec.gov/Archives/edgar/data/0000910406/000119312521367938/d135642dex102.htm" TargetMode="External"/><Relationship Id="rId459" Type="http://schemas.openxmlformats.org/officeDocument/2006/relationships/hyperlink" Target="https://www.sec.gov/Archives/edgar/data/910406/000119312522287646/d421002dex101.htm" TargetMode="External"/><Relationship Id="rId464" Type="http://schemas.openxmlformats.org/officeDocument/2006/relationships/hyperlink" Target="https://www.sec.gov/Archives/edgar/data/910406/000095017024121438/hain-ex10_1.htm" TargetMode="External"/><Relationship Id="rId468" Type="http://schemas.openxmlformats.org/officeDocument/2006/relationships/hyperlink" Target="https://www.sec.gov/Archives/edgar/data/910406/000095017025017025/hain-ex10_6.htm" TargetMode="External"/><Relationship Id="rId473" Type="http://schemas.openxmlformats.org/officeDocument/2006/relationships/hyperlink" Target="https://www.sec.gov/Archives/edgar/data/910406/000095017025017025/hain-ex10_2.htm" TargetMode="External"/><Relationship Id="rId478" Type="http://schemas.openxmlformats.org/officeDocument/2006/relationships/hyperlink" Target="https://www.sec.gov/Archives/edgar/data/910406/000095017025017025/hain-ex10_3.htm" TargetMode="External"/><Relationship Id="rId483" Type="http://schemas.openxmlformats.org/officeDocument/2006/relationships/hyperlink" Target="https://www.sec.gov/Archives/edgar/data/910406/000095017025017025/hain-ex10_4.htm" TargetMode="External"/><Relationship Id="rId489" Type="http://schemas.openxmlformats.org/officeDocument/2006/relationships/hyperlink" Target="https://www.sec.gov/Archives/edgar/data/910406/000095017025017025/hain-ex10_5.htm" TargetMode="External"/><Relationship Id="rId494" Type="http://schemas.openxmlformats.org/officeDocument/2006/relationships/hyperlink" Target="https://www.sec.gov/Archives/edgar/data/910406/000091040624000016/exh101-rsuagmt24x26ltip.htm" TargetMode="External"/><Relationship Id="rId499" Type="http://schemas.openxmlformats.org/officeDocument/2006/relationships/hyperlink" Target="https://www.sec.gov/Archives/edgar/data/910406/000091040624000016/exh103-psuagmtxrelativetsr.htm" TargetMode="External"/><Relationship Id="rId504" Type="http://schemas.openxmlformats.org/officeDocument/2006/relationships/hyperlink" Target="https://www.sec.gov/Archives/edgar/data/910406/000091040624000016/exh102-psuagmtxabsolutetsr.htm" TargetMode="External"/><Relationship Id="rId509" Type="http://schemas.openxmlformats.org/officeDocument/2006/relationships/hyperlink" Target="https://www.sec.gov/Archives/edgar/data/910406/000091040623000035/exhibit101-wdavidsonrsuagm.htm" TargetMode="External"/><Relationship Id="rId514" Type="http://schemas.openxmlformats.org/officeDocument/2006/relationships/hyperlink" Target="https://www.sec.gov/Archives/edgar/data/910406/000091040623000035/exhibit102-wdavidsonrelati.htm" TargetMode="External"/><Relationship Id="rId519" Type="http://schemas.openxmlformats.org/officeDocument/2006/relationships/hyperlink" Target="https://www.sec.gov/Archives/edgar/data/910406/000091040623000035/exhibit103-wdavidsonabsolu.htm" TargetMode="External"/><Relationship Id="rId524" Type="http://schemas.openxmlformats.org/officeDocument/2006/relationships/hyperlink" Target="https://www.sec.gov/Archives/edgar/data/910406/000091040623000035/exhibit104-wdavidsonmakexw.htm" TargetMode="External"/><Relationship Id="rId531" Type="http://schemas.openxmlformats.org/officeDocument/2006/relationships/hyperlink" Target="https://www.sec.gov/Archives/edgar/data/910406/000091040619000077/hain-63019xex1021.htm" TargetMode="External"/><Relationship Id="rId536" Type="http://schemas.openxmlformats.org/officeDocument/2006/relationships/hyperlink" Target="https://www.sec.gov/Archives/edgar/data/910406/000091040622000015/exhibit104-nonxemployeedir.htm" TargetMode="External"/><Relationship Id="rId541" Type="http://schemas.openxmlformats.org/officeDocument/2006/relationships/hyperlink" Target="https://www.sec.gov/Archives/edgar/data/0000910406/000091040622000015/exhibit105-rsuagmtx22x24lt.htm" TargetMode="External"/><Relationship Id="rId546" Type="http://schemas.openxmlformats.org/officeDocument/2006/relationships/hyperlink" Target="https://www.sec.gov/Archives/edgar/data/910406/000091040622000015/exhibit107-psuagmtx22x24lt.htm" TargetMode="External"/><Relationship Id="rId551" Type="http://schemas.openxmlformats.org/officeDocument/2006/relationships/hyperlink" Target="https://www.sec.gov/Archives/edgar/data/910406/000091040622000015/exhibit106-psuagmtx22x24lt.htm" TargetMode="External"/><Relationship Id="rId557" Type="http://schemas.openxmlformats.org/officeDocument/2006/relationships/hyperlink" Target="https://www.sec.gov/Archives/edgar/data/910406/000091040622000015/exhibit108-rsuagmtxrecogni.htm" TargetMode="External"/><Relationship Id="rId562" Type="http://schemas.openxmlformats.org/officeDocument/2006/relationships/hyperlink" Target="https://www.sec.gov/Archives/edgar/data/910406/000091040622000081/exh101-rsuagmt23x25ltip.htm" TargetMode="External"/><Relationship Id="rId567" Type="http://schemas.openxmlformats.org/officeDocument/2006/relationships/hyperlink" Target="https://www.sec.gov/Archives/edgar/data/910406/000091040622000081/exh103-psuagmtxrelativetsr.htm" TargetMode="External"/><Relationship Id="rId572" Type="http://schemas.openxmlformats.org/officeDocument/2006/relationships/hyperlink" Target="https://www.sec.gov/Archives/edgar/data/910406/000091040622000081/exh102-psuagmtxabsolutetsr.htm" TargetMode="External"/><Relationship Id="rId577" Type="http://schemas.openxmlformats.org/officeDocument/2006/relationships/hyperlink" Target="https://www.sec.gov/Archives/edgar/data/910406/000091040619000093/exhibit101aandrexecuti.htm" TargetMode="External"/><Relationship Id="rId583" Type="http://schemas.openxmlformats.org/officeDocument/2006/relationships/hyperlink" Target="https://www.sec.gov/Archives/edgar/data/910406/000119312522292943/d402070dex101.htm" TargetMode="External"/><Relationship Id="rId589" Type="http://schemas.openxmlformats.org/officeDocument/2006/relationships/hyperlink" Target="https://www.sec.gov/Archives/edgar/data/910406/000091040623000114/exh102-boyceofferletter.htm" TargetMode="External"/><Relationship Id="rId597" Type="http://schemas.openxmlformats.org/officeDocument/2006/relationships/hyperlink" Target="https://www.sec.gov/Archives/edgar/data/910406/000091040619000077/hain-63019xex1012.htm" TargetMode="External"/><Relationship Id="rId601" Type="http://schemas.openxmlformats.org/officeDocument/2006/relationships/hyperlink" Target="https://www.sec.gov/Archives/edgar/data/910406/000091040620000048/hain-331202010qxex101.htm" TargetMode="External"/><Relationship Id="rId605" Type="http://schemas.openxmlformats.org/officeDocument/2006/relationships/hyperlink" Target="https://www.sec.gov/Archives/edgar/data/910406/000091040619000056/hain-33119ex108.htm" TargetMode="External"/><Relationship Id="rId624" Type="http://schemas.openxmlformats.org/officeDocument/2006/relationships/hyperlink" Target="https://www.sec.gov/Archives/edgar/data/910406/000095017024100992/hain-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2025-09-15T15:21:31Z</dcterms:created>
  <dcterms:modified xsi:type="dcterms:W3CDTF">2025-09-15T15:21:31Z</dcterms:modified>
</cp:coreProperties>
</file>